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03CF2" w14:textId="77777777" w:rsidR="007B6525" w:rsidRDefault="008C6A45" w:rsidP="007B6525">
      <w:pPr>
        <w:spacing w:after="8"/>
        <w:rPr>
          <w:rFonts w:ascii="Palatino" w:hAnsi="Palatino"/>
          <w:caps/>
          <w:sz w:val="18"/>
        </w:rPr>
      </w:pPr>
      <w:r>
        <w:rPr>
          <w:rFonts w:ascii="Palatino" w:hAnsi="Palatino"/>
          <w:caps/>
          <w:noProof/>
          <w:sz w:val="18"/>
        </w:rPr>
        <w:drawing>
          <wp:anchor distT="0" distB="0" distL="114300" distR="114300" simplePos="0" relativeHeight="251658752" behindDoc="0" locked="0" layoutInCell="1" allowOverlap="1" wp14:anchorId="6DF0559B" wp14:editId="38112015">
            <wp:simplePos x="0" y="0"/>
            <wp:positionH relativeFrom="margin">
              <wp:posOffset>3649980</wp:posOffset>
            </wp:positionH>
            <wp:positionV relativeFrom="margin">
              <wp:posOffset>-91440</wp:posOffset>
            </wp:positionV>
            <wp:extent cx="2331720" cy="769620"/>
            <wp:effectExtent l="0" t="0" r="0" b="0"/>
            <wp:wrapSquare wrapText="bothSides"/>
            <wp:docPr id="9" name="Picture 9" descr="CMS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Stag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7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525">
        <w:rPr>
          <w:rFonts w:ascii="Palatino" w:hAnsi="Palatino"/>
          <w:caps/>
          <w:sz w:val="18"/>
        </w:rPr>
        <w:t>Department of Health &amp; Human Services</w:t>
      </w:r>
    </w:p>
    <w:p w14:paraId="0F8ED800" w14:textId="77777777" w:rsidR="007B6525" w:rsidRDefault="007B6525" w:rsidP="007B6525">
      <w:pPr>
        <w:spacing w:after="8"/>
        <w:rPr>
          <w:rFonts w:ascii="Palatino" w:hAnsi="Palatino"/>
          <w:sz w:val="18"/>
        </w:rPr>
      </w:pPr>
      <w:r>
        <w:rPr>
          <w:rFonts w:ascii="Palatino" w:hAnsi="Palatino"/>
          <w:sz w:val="18"/>
        </w:rPr>
        <w:t>Centers for Medicare &amp; Medicaid Services</w:t>
      </w:r>
    </w:p>
    <w:p w14:paraId="7601216F" w14:textId="77777777" w:rsidR="007B6525" w:rsidRDefault="007B6525" w:rsidP="007B6525">
      <w:pPr>
        <w:spacing w:after="8"/>
        <w:rPr>
          <w:rFonts w:ascii="Palatino" w:hAnsi="Palatino"/>
          <w:sz w:val="18"/>
        </w:rPr>
      </w:pPr>
      <w:r>
        <w:rPr>
          <w:rFonts w:ascii="Palatino" w:hAnsi="Palatino"/>
          <w:sz w:val="18"/>
        </w:rPr>
        <w:t xml:space="preserve">7500 Security Boulevard, Mail Stop </w:t>
      </w:r>
      <w:r>
        <w:rPr>
          <w:rFonts w:ascii="Palatino Linotype" w:hAnsi="Palatino Linotype"/>
          <w:color w:val="000000"/>
          <w:sz w:val="18"/>
          <w:szCs w:val="18"/>
        </w:rPr>
        <w:t>C2-21-16</w:t>
      </w:r>
    </w:p>
    <w:p w14:paraId="246C8A53" w14:textId="77777777" w:rsidR="007B6525" w:rsidRDefault="007B6525" w:rsidP="007B6525">
      <w:pPr>
        <w:spacing w:after="8"/>
        <w:rPr>
          <w:rFonts w:ascii="Palatino" w:hAnsi="Palatino"/>
          <w:sz w:val="19"/>
        </w:rPr>
      </w:pPr>
      <w:r>
        <w:rPr>
          <w:rFonts w:ascii="Palatino" w:hAnsi="Palatino"/>
          <w:sz w:val="18"/>
        </w:rPr>
        <w:t>Baltimore, Maryland   21244-1850</w:t>
      </w:r>
    </w:p>
    <w:p w14:paraId="73035450" w14:textId="77777777" w:rsidR="007B6525" w:rsidRDefault="007B6525" w:rsidP="007B6525">
      <w:pPr>
        <w:rPr>
          <w:rFonts w:ascii="Palatino" w:hAnsi="Palatino"/>
          <w:szCs w:val="24"/>
        </w:rPr>
      </w:pPr>
    </w:p>
    <w:p w14:paraId="61C669CF" w14:textId="776B8717" w:rsidR="007B6525" w:rsidRDefault="008C6A45" w:rsidP="007B6525">
      <w:pPr>
        <w:rPr>
          <w:rFonts w:ascii="Palatino" w:hAnsi="Palatino"/>
          <w:b/>
          <w:spacing w:val="-5"/>
        </w:rPr>
      </w:pPr>
      <w:r>
        <w:rPr>
          <w:rFonts w:ascii="Times" w:hAnsi="Times"/>
          <w:noProof/>
        </w:rPr>
        <mc:AlternateContent>
          <mc:Choice Requires="wps">
            <w:drawing>
              <wp:anchor distT="0" distB="0" distL="114300" distR="114300" simplePos="0" relativeHeight="251657728" behindDoc="0" locked="0" layoutInCell="0" allowOverlap="1" wp14:anchorId="04089A60" wp14:editId="223AF0E2">
                <wp:simplePos x="0" y="0"/>
                <wp:positionH relativeFrom="column">
                  <wp:posOffset>-13335</wp:posOffset>
                </wp:positionH>
                <wp:positionV relativeFrom="paragraph">
                  <wp:posOffset>182880</wp:posOffset>
                </wp:positionV>
                <wp:extent cx="5943600" cy="0"/>
                <wp:effectExtent l="15240" t="12700" r="13335" b="63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16A460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" o:allowincell="f" strokeweight="1pt"/>
            </w:pict>
          </mc:Fallback>
        </mc:AlternateContent>
      </w:r>
      <w:r w:rsidR="007B6525">
        <w:rPr>
          <w:rFonts w:ascii="Palatino" w:hAnsi="Palatino"/>
          <w:b/>
          <w:spacing w:val="-5"/>
        </w:rPr>
        <w:t>Center for Clinical Standards and Quality/</w:t>
      </w:r>
      <w:r w:rsidR="00170069">
        <w:rPr>
          <w:rFonts w:ascii="Palatino" w:hAnsi="Palatino"/>
          <w:b/>
          <w:spacing w:val="-5"/>
        </w:rPr>
        <w:t>Quality, Safety &amp; Oversight</w:t>
      </w:r>
      <w:r w:rsidR="007B6525">
        <w:rPr>
          <w:rFonts w:ascii="Palatino" w:hAnsi="Palatino"/>
          <w:b/>
          <w:spacing w:val="-5"/>
        </w:rPr>
        <w:t xml:space="preserve"> Group</w:t>
      </w:r>
    </w:p>
    <w:p w14:paraId="13D62802" w14:textId="77777777" w:rsidR="002C5192" w:rsidRDefault="002C5192" w:rsidP="002C5192">
      <w:pPr>
        <w:jc w:val="right"/>
        <w:rPr>
          <w:b/>
        </w:rPr>
      </w:pPr>
    </w:p>
    <w:p w14:paraId="19C9873B" w14:textId="28DF9B31" w:rsidR="002C5192" w:rsidRPr="00E975E6" w:rsidRDefault="00484451" w:rsidP="002C5192">
      <w:pPr>
        <w:jc w:val="right"/>
        <w:rPr>
          <w:b/>
        </w:rPr>
      </w:pPr>
      <w:r>
        <w:rPr>
          <w:rFonts w:ascii="Times New Roman Bold" w:hAnsi="Times New Roman Bold"/>
          <w:b/>
          <w:spacing w:val="-5"/>
        </w:rPr>
        <w:t>Ref: QSO19</w:t>
      </w:r>
      <w:r w:rsidR="00170069">
        <w:rPr>
          <w:b/>
          <w:spacing w:val="-5"/>
        </w:rPr>
        <w:t>-</w:t>
      </w:r>
      <w:r w:rsidR="000152FD">
        <w:rPr>
          <w:b/>
          <w:spacing w:val="-5"/>
        </w:rPr>
        <w:t>0</w:t>
      </w:r>
      <w:r w:rsidR="00A215A5">
        <w:rPr>
          <w:b/>
          <w:spacing w:val="-5"/>
        </w:rPr>
        <w:t>6</w:t>
      </w:r>
      <w:r w:rsidR="00170069">
        <w:rPr>
          <w:b/>
          <w:spacing w:val="-5"/>
        </w:rPr>
        <w:t>-</w:t>
      </w:r>
      <w:r>
        <w:rPr>
          <w:b/>
          <w:spacing w:val="-5"/>
        </w:rPr>
        <w:t>ALL</w:t>
      </w:r>
    </w:p>
    <w:p w14:paraId="6355A63E" w14:textId="228BBA1D" w:rsidR="002C5192" w:rsidRPr="00167DA5" w:rsidRDefault="002C5192" w:rsidP="002C5192">
      <w:pPr>
        <w:rPr>
          <w:sz w:val="28"/>
          <w:szCs w:val="28"/>
        </w:rPr>
      </w:pPr>
      <w:r w:rsidRPr="006B7F6A">
        <w:rPr>
          <w:b/>
        </w:rPr>
        <w:t xml:space="preserve">DATE:  </w:t>
      </w:r>
      <w:r>
        <w:rPr>
          <w:b/>
        </w:rPr>
        <w:tab/>
      </w:r>
      <w:r w:rsidR="000152FD">
        <w:rPr>
          <w:b/>
        </w:rPr>
        <w:t>February 1</w:t>
      </w:r>
      <w:r w:rsidR="00170069">
        <w:rPr>
          <w:b/>
        </w:rPr>
        <w:t>, 201</w:t>
      </w:r>
      <w:r w:rsidR="00484451">
        <w:rPr>
          <w:b/>
        </w:rPr>
        <w:t>9</w:t>
      </w:r>
    </w:p>
    <w:p w14:paraId="67D7811F" w14:textId="77777777" w:rsidR="002C5192" w:rsidRPr="00C9122C" w:rsidRDefault="002C5192" w:rsidP="002C5192">
      <w:pPr>
        <w:rPr>
          <w:sz w:val="22"/>
          <w:szCs w:val="22"/>
        </w:rPr>
      </w:pPr>
    </w:p>
    <w:p w14:paraId="518171FB" w14:textId="77777777" w:rsidR="002C5192" w:rsidRDefault="002C5192" w:rsidP="002C5192">
      <w:r w:rsidRPr="006B7F6A">
        <w:rPr>
          <w:b/>
        </w:rPr>
        <w:t>TO:</w:t>
      </w:r>
      <w:r w:rsidRPr="006B7F6A">
        <w:rPr>
          <w:b/>
        </w:rPr>
        <w:tab/>
      </w:r>
      <w:r>
        <w:tab/>
      </w:r>
      <w:r w:rsidR="00F378DE">
        <w:t>State Survey</w:t>
      </w:r>
      <w:r>
        <w:t xml:space="preserve"> Agency Directors</w:t>
      </w:r>
    </w:p>
    <w:p w14:paraId="6DFE7D5A" w14:textId="77777777" w:rsidR="002C5192" w:rsidRPr="00C9122C" w:rsidRDefault="002C5192" w:rsidP="002C5192">
      <w:pPr>
        <w:rPr>
          <w:sz w:val="22"/>
          <w:szCs w:val="22"/>
        </w:rPr>
      </w:pPr>
    </w:p>
    <w:p w14:paraId="571BD75C" w14:textId="77777777" w:rsidR="002C5192" w:rsidRDefault="002C5192" w:rsidP="002C5192">
      <w:r w:rsidRPr="006B7F6A">
        <w:rPr>
          <w:b/>
        </w:rPr>
        <w:t>FROM:</w:t>
      </w:r>
      <w:r>
        <w:tab/>
        <w:t>Director</w:t>
      </w:r>
    </w:p>
    <w:p w14:paraId="6221D364" w14:textId="385F88F3" w:rsidR="002C5192" w:rsidRDefault="002C5192" w:rsidP="002C5192">
      <w:r>
        <w:tab/>
      </w:r>
      <w:r>
        <w:tab/>
      </w:r>
      <w:r w:rsidR="00170069">
        <w:t>Quality, Safety &amp; Oversight</w:t>
      </w:r>
      <w:r>
        <w:t xml:space="preserve"> Group</w:t>
      </w:r>
    </w:p>
    <w:p w14:paraId="46B77D8B" w14:textId="77777777" w:rsidR="002C5192" w:rsidRPr="00C9122C" w:rsidRDefault="002C5192" w:rsidP="002C5192">
      <w:pPr>
        <w:rPr>
          <w:sz w:val="22"/>
          <w:szCs w:val="22"/>
        </w:rPr>
      </w:pPr>
    </w:p>
    <w:p w14:paraId="08580BA6" w14:textId="11DCED6F" w:rsidR="00875A04" w:rsidRDefault="002C5192" w:rsidP="001E376A">
      <w:pPr>
        <w:ind w:left="1440" w:hanging="1440"/>
        <w:rPr>
          <w:sz w:val="22"/>
          <w:szCs w:val="22"/>
        </w:rPr>
      </w:pPr>
      <w:r w:rsidRPr="006B7F6A">
        <w:rPr>
          <w:b/>
        </w:rPr>
        <w:t>SUBJECT:</w:t>
      </w:r>
      <w:r w:rsidR="00170069">
        <w:tab/>
      </w:r>
      <w:r w:rsidR="004970E7">
        <w:t>Emergency Preparedness</w:t>
      </w:r>
      <w:r w:rsidR="00170069">
        <w:t xml:space="preserve">- </w:t>
      </w:r>
      <w:r w:rsidR="00C1492E">
        <w:t>Updates to Appendix Z of the State Operations Manual (SOM)</w:t>
      </w:r>
    </w:p>
    <w:p w14:paraId="34C3A417" w14:textId="1C9DAACB" w:rsidR="00BA225F" w:rsidRDefault="00062586" w:rsidP="001E376A">
      <w:pPr>
        <w:ind w:left="1440" w:hanging="1440"/>
        <w:rPr>
          <w:sz w:val="22"/>
          <w:szCs w:val="22"/>
        </w:rPr>
      </w:pPr>
      <w:r>
        <w:rPr>
          <w:noProof/>
          <w:sz w:val="22"/>
          <w:szCs w:val="22"/>
        </w:rPr>
        <mc:AlternateContent>
          <mc:Choice Requires="wps">
            <w:drawing>
              <wp:anchor distT="0" distB="0" distL="114300" distR="114300" simplePos="0" relativeHeight="251656704" behindDoc="0" locked="0" layoutInCell="1" allowOverlap="1" wp14:anchorId="66293987" wp14:editId="71DC2B1B">
                <wp:simplePos x="0" y="0"/>
                <wp:positionH relativeFrom="column">
                  <wp:posOffset>-15903</wp:posOffset>
                </wp:positionH>
                <wp:positionV relativeFrom="paragraph">
                  <wp:posOffset>178904</wp:posOffset>
                </wp:positionV>
                <wp:extent cx="6040755" cy="2361538"/>
                <wp:effectExtent l="0" t="0" r="17145" b="203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2361538"/>
                        </a:xfrm>
                        <a:prstGeom prst="rect">
                          <a:avLst/>
                        </a:prstGeom>
                        <a:solidFill>
                          <a:srgbClr val="DDDDDD"/>
                        </a:solidFill>
                        <a:ln w="9525">
                          <a:solidFill>
                            <a:srgbClr val="000000"/>
                          </a:solidFill>
                          <a:miter lim="800000"/>
                          <a:headEnd/>
                          <a:tailEnd/>
                        </a:ln>
                      </wps:spPr>
                      <wps:txbx>
                        <w:txbxContent>
                          <w:p w14:paraId="50474DA5" w14:textId="77777777" w:rsidR="007C5C3D" w:rsidRDefault="007C5C3D" w:rsidP="002C5192">
                            <w:pPr>
                              <w:jc w:val="center"/>
                              <w:rPr>
                                <w:b/>
                                <w:szCs w:val="24"/>
                                <w:u w:val="single"/>
                              </w:rPr>
                            </w:pPr>
                            <w:r w:rsidRPr="00D01BC4">
                              <w:rPr>
                                <w:b/>
                                <w:szCs w:val="24"/>
                                <w:u w:val="single"/>
                              </w:rPr>
                              <w:t>Memorandum Summary</w:t>
                            </w:r>
                          </w:p>
                          <w:p w14:paraId="5A7AA3EF" w14:textId="77777777" w:rsidR="003C360A" w:rsidRPr="006F5F96" w:rsidRDefault="003C360A" w:rsidP="002C5192">
                            <w:pPr>
                              <w:jc w:val="center"/>
                              <w:rPr>
                                <w:b/>
                                <w:sz w:val="14"/>
                                <w:szCs w:val="24"/>
                                <w:u w:val="single"/>
                              </w:rPr>
                            </w:pPr>
                          </w:p>
                          <w:p w14:paraId="1475543E" w14:textId="4BAD4165" w:rsidR="0038161B" w:rsidRPr="0038161B" w:rsidRDefault="003F2B7D" w:rsidP="0038161B">
                            <w:pPr>
                              <w:numPr>
                                <w:ilvl w:val="0"/>
                                <w:numId w:val="1"/>
                              </w:numPr>
                              <w:tabs>
                                <w:tab w:val="clear" w:pos="216"/>
                                <w:tab w:val="left" w:pos="450"/>
                                <w:tab w:val="num" w:pos="540"/>
                              </w:tabs>
                              <w:ind w:left="450" w:hanging="270"/>
                              <w:rPr>
                                <w:szCs w:val="24"/>
                              </w:rPr>
                            </w:pPr>
                            <w:r w:rsidRPr="003F2B7D">
                              <w:rPr>
                                <w:b/>
                                <w:szCs w:val="24"/>
                              </w:rPr>
                              <w:t>Emergency Preparedness Requirements for Medicare and</w:t>
                            </w:r>
                            <w:r>
                              <w:rPr>
                                <w:b/>
                                <w:szCs w:val="24"/>
                              </w:rPr>
                              <w:t xml:space="preserve"> </w:t>
                            </w:r>
                            <w:r w:rsidRPr="003F2B7D">
                              <w:rPr>
                                <w:b/>
                                <w:szCs w:val="24"/>
                              </w:rPr>
                              <w:t>Medicaid Participating Providers and Suppliers</w:t>
                            </w:r>
                            <w:r w:rsidR="002D2C08">
                              <w:rPr>
                                <w:b/>
                                <w:szCs w:val="24"/>
                              </w:rPr>
                              <w:t xml:space="preserve">: </w:t>
                            </w:r>
                            <w:r w:rsidR="003C360A">
                              <w:rPr>
                                <w:b/>
                                <w:szCs w:val="24"/>
                              </w:rPr>
                              <w:t xml:space="preserve"> </w:t>
                            </w:r>
                            <w:r w:rsidR="0038161B" w:rsidRPr="0038161B">
                              <w:t xml:space="preserve">On September </w:t>
                            </w:r>
                            <w:r w:rsidR="002E7EBB">
                              <w:t>16</w:t>
                            </w:r>
                            <w:r w:rsidR="0038161B" w:rsidRPr="0038161B">
                              <w:t>, 2016</w:t>
                            </w:r>
                            <w:r w:rsidR="00062586">
                              <w:t>,</w:t>
                            </w:r>
                            <w:r w:rsidR="0038161B" w:rsidRPr="0038161B">
                              <w:t xml:space="preserve"> the </w:t>
                            </w:r>
                            <w:r w:rsidR="0038161B" w:rsidRPr="0038161B">
                              <w:rPr>
                                <w:i/>
                              </w:rPr>
                              <w:t>Emergency Preparedness Requirements for Medicare and Medicaid Participating Providers and Suppliers</w:t>
                            </w:r>
                            <w:r w:rsidR="00062586">
                              <w:t xml:space="preserve"> (Emergency Preparedness Rule) final rule was published in the Federal Register</w:t>
                            </w:r>
                            <w:r w:rsidR="0038161B" w:rsidRPr="0038161B">
                              <w:t xml:space="preserve">. </w:t>
                            </w:r>
                          </w:p>
                          <w:p w14:paraId="66328E1E" w14:textId="5BA81AD5" w:rsidR="003C360A" w:rsidRPr="00170069" w:rsidRDefault="0038161B" w:rsidP="0038161B">
                            <w:pPr>
                              <w:numPr>
                                <w:ilvl w:val="0"/>
                                <w:numId w:val="1"/>
                              </w:numPr>
                              <w:tabs>
                                <w:tab w:val="clear" w:pos="216"/>
                                <w:tab w:val="left" w:pos="450"/>
                                <w:tab w:val="num" w:pos="540"/>
                              </w:tabs>
                              <w:ind w:left="450" w:hanging="270"/>
                              <w:rPr>
                                <w:szCs w:val="24"/>
                              </w:rPr>
                            </w:pPr>
                            <w:r w:rsidRPr="0038161B">
                              <w:t xml:space="preserve">Health care providers and suppliers affected by </w:t>
                            </w:r>
                            <w:r w:rsidR="00062586">
                              <w:t xml:space="preserve">the rule </w:t>
                            </w:r>
                            <w:r w:rsidR="00807142">
                              <w:t>were</w:t>
                            </w:r>
                            <w:r w:rsidR="00170069">
                              <w:t xml:space="preserve"> required</w:t>
                            </w:r>
                            <w:r w:rsidRPr="0038161B">
                              <w:t xml:space="preserve"> comply and implement all regulations </w:t>
                            </w:r>
                            <w:r w:rsidR="002E7EBB">
                              <w:t>by</w:t>
                            </w:r>
                            <w:r w:rsidR="002E7EBB" w:rsidRPr="0038161B">
                              <w:t xml:space="preserve"> </w:t>
                            </w:r>
                            <w:r w:rsidRPr="0038161B">
                              <w:t xml:space="preserve">November </w:t>
                            </w:r>
                            <w:r w:rsidR="002E7EBB" w:rsidRPr="0038161B">
                              <w:t>1</w:t>
                            </w:r>
                            <w:r w:rsidR="002E7EBB">
                              <w:t>5</w:t>
                            </w:r>
                            <w:r w:rsidRPr="0038161B">
                              <w:t>, 2017.</w:t>
                            </w:r>
                          </w:p>
                          <w:p w14:paraId="0D1040BD" w14:textId="1BA20488" w:rsidR="00170069" w:rsidRDefault="00C1492E" w:rsidP="004945DC">
                            <w:pPr>
                              <w:numPr>
                                <w:ilvl w:val="0"/>
                                <w:numId w:val="1"/>
                              </w:numPr>
                              <w:tabs>
                                <w:tab w:val="clear" w:pos="216"/>
                                <w:tab w:val="left" w:pos="450"/>
                                <w:tab w:val="num" w:pos="540"/>
                              </w:tabs>
                              <w:ind w:left="450"/>
                            </w:pPr>
                            <w:r w:rsidRPr="00C1492E">
                              <w:rPr>
                                <w:szCs w:val="24"/>
                              </w:rPr>
                              <w:t>We are updating Appendix Z of the SOM to reflect changes to add emerging infectious diseases to the definition of all-hazards approach, new Home Health Agency (HHA) citations and clarifications under alternate source power and emergency standby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93987" id="_x0000_t202" coordsize="21600,21600" o:spt="202" path="m,l,21600r21600,l21600,xe">
                <v:stroke joinstyle="miter"/>
                <v:path gradientshapeok="t" o:connecttype="rect"/>
              </v:shapetype>
              <v:shape id="Text Box 3" o:spid="_x0000_s1026" type="#_x0000_t202" style="position:absolute;left:0;text-align:left;margin-left:-1.25pt;margin-top:14.1pt;width:475.65pt;height:18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" fillcolor="#ddd">
                <v:textbox>
                  <w:txbxContent>
                    <w:p w14:paraId="50474DA5" w14:textId="77777777" w:rsidR="007C5C3D" w:rsidRDefault="007C5C3D" w:rsidP="002C5192">
                      <w:pPr>
                        <w:jc w:val="center"/>
                        <w:rPr>
                          <w:b/>
                          <w:szCs w:val="24"/>
                          <w:u w:val="single"/>
                        </w:rPr>
                      </w:pPr>
                      <w:r w:rsidRPr="00D01BC4">
                        <w:rPr>
                          <w:b/>
                          <w:szCs w:val="24"/>
                          <w:u w:val="single"/>
                        </w:rPr>
                        <w:t>Memorandum Summary</w:t>
                      </w:r>
                    </w:p>
                    <w:p w14:paraId="5A7AA3EF" w14:textId="77777777" w:rsidR="003C360A" w:rsidRPr="006F5F96" w:rsidRDefault="003C360A" w:rsidP="002C5192">
                      <w:pPr>
                        <w:jc w:val="center"/>
                        <w:rPr>
                          <w:b/>
                          <w:sz w:val="14"/>
                          <w:szCs w:val="24"/>
                          <w:u w:val="single"/>
                        </w:rPr>
                      </w:pPr>
                    </w:p>
                    <w:p w14:paraId="1475543E" w14:textId="4BAD4165" w:rsidR="0038161B" w:rsidRPr="0038161B" w:rsidRDefault="003F2B7D" w:rsidP="0038161B">
                      <w:pPr>
                        <w:numPr>
                          <w:ilvl w:val="0"/>
                          <w:numId w:val="1"/>
                        </w:numPr>
                        <w:tabs>
                          <w:tab w:val="clear" w:pos="216"/>
                          <w:tab w:val="left" w:pos="450"/>
                          <w:tab w:val="num" w:pos="540"/>
                        </w:tabs>
                        <w:ind w:left="450" w:hanging="270"/>
                        <w:rPr>
                          <w:szCs w:val="24"/>
                        </w:rPr>
                      </w:pPr>
                      <w:r w:rsidRPr="003F2B7D">
                        <w:rPr>
                          <w:b/>
                          <w:szCs w:val="24"/>
                        </w:rPr>
                        <w:t>Emergency Preparedness Requirements for Medicare and</w:t>
                      </w:r>
                      <w:r>
                        <w:rPr>
                          <w:b/>
                          <w:szCs w:val="24"/>
                        </w:rPr>
                        <w:t xml:space="preserve"> </w:t>
                      </w:r>
                      <w:r w:rsidRPr="003F2B7D">
                        <w:rPr>
                          <w:b/>
                          <w:szCs w:val="24"/>
                        </w:rPr>
                        <w:t>Medicaid Participating Providers and Suppliers</w:t>
                      </w:r>
                      <w:r w:rsidR="002D2C08">
                        <w:rPr>
                          <w:b/>
                          <w:szCs w:val="24"/>
                        </w:rPr>
                        <w:t xml:space="preserve">: </w:t>
                      </w:r>
                      <w:r w:rsidR="003C360A">
                        <w:rPr>
                          <w:b/>
                          <w:szCs w:val="24"/>
                        </w:rPr>
                        <w:t xml:space="preserve"> </w:t>
                      </w:r>
                      <w:r w:rsidR="0038161B" w:rsidRPr="0038161B">
                        <w:t xml:space="preserve">On September </w:t>
                      </w:r>
                      <w:r w:rsidR="002E7EBB">
                        <w:t>16</w:t>
                      </w:r>
                      <w:r w:rsidR="0038161B" w:rsidRPr="0038161B">
                        <w:t>, 2016</w:t>
                      </w:r>
                      <w:r w:rsidR="00062586">
                        <w:t>,</w:t>
                      </w:r>
                      <w:r w:rsidR="0038161B" w:rsidRPr="0038161B">
                        <w:t xml:space="preserve"> the </w:t>
                      </w:r>
                      <w:r w:rsidR="0038161B" w:rsidRPr="0038161B">
                        <w:rPr>
                          <w:i/>
                        </w:rPr>
                        <w:t>Emergency Preparedness Requirements for Medicare and Medicaid Participating Providers and Suppliers</w:t>
                      </w:r>
                      <w:r w:rsidR="00062586">
                        <w:t xml:space="preserve"> (Emergency Preparedness Rule) final rule was published in the Federal Register</w:t>
                      </w:r>
                      <w:r w:rsidR="0038161B" w:rsidRPr="0038161B">
                        <w:t xml:space="preserve">. </w:t>
                      </w:r>
                    </w:p>
                    <w:p w14:paraId="66328E1E" w14:textId="5BA81AD5" w:rsidR="003C360A" w:rsidRPr="00170069" w:rsidRDefault="0038161B" w:rsidP="0038161B">
                      <w:pPr>
                        <w:numPr>
                          <w:ilvl w:val="0"/>
                          <w:numId w:val="1"/>
                        </w:numPr>
                        <w:tabs>
                          <w:tab w:val="clear" w:pos="216"/>
                          <w:tab w:val="left" w:pos="450"/>
                          <w:tab w:val="num" w:pos="540"/>
                        </w:tabs>
                        <w:ind w:left="450" w:hanging="270"/>
                        <w:rPr>
                          <w:szCs w:val="24"/>
                        </w:rPr>
                      </w:pPr>
                      <w:r w:rsidRPr="0038161B">
                        <w:t xml:space="preserve">Health care providers and suppliers affected by </w:t>
                      </w:r>
                      <w:r w:rsidR="00062586">
                        <w:t xml:space="preserve">the rule </w:t>
                      </w:r>
                      <w:r w:rsidR="00807142">
                        <w:t>were</w:t>
                      </w:r>
                      <w:r w:rsidR="00170069">
                        <w:t xml:space="preserve"> required</w:t>
                      </w:r>
                      <w:r w:rsidRPr="0038161B">
                        <w:t xml:space="preserve"> comply and implement all regulations </w:t>
                      </w:r>
                      <w:r w:rsidR="002E7EBB">
                        <w:t>by</w:t>
                      </w:r>
                      <w:r w:rsidR="002E7EBB" w:rsidRPr="0038161B">
                        <w:t xml:space="preserve"> </w:t>
                      </w:r>
                      <w:r w:rsidRPr="0038161B">
                        <w:t xml:space="preserve">November </w:t>
                      </w:r>
                      <w:r w:rsidR="002E7EBB" w:rsidRPr="0038161B">
                        <w:t>1</w:t>
                      </w:r>
                      <w:r w:rsidR="002E7EBB">
                        <w:t>5</w:t>
                      </w:r>
                      <w:r w:rsidRPr="0038161B">
                        <w:t>, 2017.</w:t>
                      </w:r>
                    </w:p>
                    <w:p w14:paraId="0D1040BD" w14:textId="1BA20488" w:rsidR="00170069" w:rsidRDefault="00C1492E" w:rsidP="004945DC">
                      <w:pPr>
                        <w:numPr>
                          <w:ilvl w:val="0"/>
                          <w:numId w:val="1"/>
                        </w:numPr>
                        <w:tabs>
                          <w:tab w:val="clear" w:pos="216"/>
                          <w:tab w:val="left" w:pos="450"/>
                          <w:tab w:val="num" w:pos="540"/>
                        </w:tabs>
                        <w:ind w:left="450"/>
                      </w:pPr>
                      <w:r w:rsidRPr="00C1492E">
                        <w:rPr>
                          <w:szCs w:val="24"/>
                        </w:rPr>
                        <w:t>We are updating Appendix Z of the SOM to reflect changes to add emerging infectious diseases to the definition of all-hazards approach, new Home Health Agency (HHA) citations and clarifications under alternate source power and emergency standby systems.</w:t>
                      </w:r>
                    </w:p>
                  </w:txbxContent>
                </v:textbox>
              </v:shape>
            </w:pict>
          </mc:Fallback>
        </mc:AlternateContent>
      </w:r>
    </w:p>
    <w:p w14:paraId="507AD674" w14:textId="125D33EC" w:rsidR="002C5192" w:rsidRDefault="002C5192" w:rsidP="002C5192">
      <w:pPr>
        <w:rPr>
          <w:sz w:val="22"/>
          <w:szCs w:val="22"/>
        </w:rPr>
      </w:pPr>
    </w:p>
    <w:p w14:paraId="138200A7" w14:textId="77777777" w:rsidR="002C5192" w:rsidRDefault="002C5192" w:rsidP="002C5192">
      <w:pPr>
        <w:rPr>
          <w:sz w:val="22"/>
          <w:szCs w:val="22"/>
        </w:rPr>
      </w:pPr>
    </w:p>
    <w:p w14:paraId="7D5FB858" w14:textId="77777777" w:rsidR="002C5192" w:rsidRDefault="002C5192" w:rsidP="002C5192">
      <w:pPr>
        <w:rPr>
          <w:sz w:val="22"/>
          <w:szCs w:val="22"/>
        </w:rPr>
      </w:pPr>
    </w:p>
    <w:p w14:paraId="5C2FF237" w14:textId="77777777" w:rsidR="002C5192" w:rsidRDefault="002C5192" w:rsidP="002C5192">
      <w:pPr>
        <w:rPr>
          <w:sz w:val="22"/>
          <w:szCs w:val="22"/>
        </w:rPr>
      </w:pPr>
    </w:p>
    <w:p w14:paraId="366C17B3" w14:textId="77777777" w:rsidR="002C5192" w:rsidRDefault="002C5192" w:rsidP="002C5192">
      <w:pPr>
        <w:rPr>
          <w:sz w:val="22"/>
          <w:szCs w:val="22"/>
        </w:rPr>
      </w:pPr>
    </w:p>
    <w:p w14:paraId="6BD60132" w14:textId="77777777" w:rsidR="002C5192" w:rsidRDefault="002C5192" w:rsidP="002C5192">
      <w:pPr>
        <w:rPr>
          <w:sz w:val="22"/>
          <w:szCs w:val="22"/>
        </w:rPr>
      </w:pPr>
    </w:p>
    <w:p w14:paraId="0BF8CCD5" w14:textId="77777777" w:rsidR="002C5192" w:rsidRDefault="002C5192" w:rsidP="002C5192">
      <w:pPr>
        <w:rPr>
          <w:sz w:val="22"/>
          <w:szCs w:val="22"/>
        </w:rPr>
      </w:pPr>
    </w:p>
    <w:p w14:paraId="62D6CFFC" w14:textId="77777777" w:rsidR="002C5192" w:rsidRDefault="002C5192" w:rsidP="002C5192">
      <w:pPr>
        <w:rPr>
          <w:sz w:val="22"/>
          <w:szCs w:val="22"/>
        </w:rPr>
      </w:pPr>
    </w:p>
    <w:p w14:paraId="65F5D0C2" w14:textId="77777777" w:rsidR="002C5192" w:rsidRDefault="002C5192" w:rsidP="002C5192">
      <w:pPr>
        <w:rPr>
          <w:sz w:val="22"/>
          <w:szCs w:val="22"/>
        </w:rPr>
      </w:pPr>
    </w:p>
    <w:p w14:paraId="225696FE" w14:textId="77777777" w:rsidR="002C5192" w:rsidRPr="00C9122C" w:rsidRDefault="002C5192" w:rsidP="002C5192">
      <w:pPr>
        <w:rPr>
          <w:sz w:val="22"/>
          <w:szCs w:val="22"/>
        </w:rPr>
      </w:pPr>
    </w:p>
    <w:p w14:paraId="6EEB530E" w14:textId="77777777" w:rsidR="002C5192" w:rsidRDefault="002C5192" w:rsidP="002C5192">
      <w:pPr>
        <w:rPr>
          <w:sz w:val="16"/>
          <w:szCs w:val="16"/>
        </w:rPr>
      </w:pPr>
    </w:p>
    <w:p w14:paraId="218DA874" w14:textId="77777777" w:rsidR="00170069" w:rsidRDefault="00170069" w:rsidP="002C5192">
      <w:pPr>
        <w:rPr>
          <w:b/>
          <w:szCs w:val="24"/>
          <w:u w:val="single"/>
        </w:rPr>
      </w:pPr>
    </w:p>
    <w:p w14:paraId="528428A1" w14:textId="77777777" w:rsidR="00170069" w:rsidRDefault="00170069" w:rsidP="002C5192">
      <w:pPr>
        <w:rPr>
          <w:b/>
          <w:szCs w:val="24"/>
          <w:u w:val="single"/>
        </w:rPr>
      </w:pPr>
    </w:p>
    <w:p w14:paraId="3317950F" w14:textId="77777777" w:rsidR="00170069" w:rsidRDefault="00170069" w:rsidP="002C5192">
      <w:pPr>
        <w:rPr>
          <w:b/>
          <w:szCs w:val="24"/>
          <w:u w:val="single"/>
        </w:rPr>
      </w:pPr>
    </w:p>
    <w:p w14:paraId="6670736D" w14:textId="77777777" w:rsidR="00170069" w:rsidRDefault="00170069" w:rsidP="002C5192">
      <w:pPr>
        <w:rPr>
          <w:b/>
          <w:szCs w:val="24"/>
          <w:u w:val="single"/>
        </w:rPr>
      </w:pPr>
    </w:p>
    <w:p w14:paraId="65558EEA" w14:textId="79CAA879" w:rsidR="002C5192" w:rsidRPr="001E376A" w:rsidRDefault="003C360A" w:rsidP="002C5192">
      <w:pPr>
        <w:rPr>
          <w:b/>
          <w:szCs w:val="24"/>
          <w:u w:val="single"/>
        </w:rPr>
      </w:pPr>
      <w:r>
        <w:rPr>
          <w:b/>
          <w:szCs w:val="24"/>
          <w:u w:val="single"/>
        </w:rPr>
        <w:t>Background</w:t>
      </w:r>
    </w:p>
    <w:p w14:paraId="1E588831" w14:textId="77777777" w:rsidR="006A2EC6" w:rsidRDefault="006A2EC6" w:rsidP="00BA225F"/>
    <w:p w14:paraId="270B6DE5" w14:textId="02CFCD0B" w:rsidR="00170069" w:rsidRPr="003C0C02" w:rsidRDefault="003F2B7D" w:rsidP="00C1492E">
      <w:pPr>
        <w:rPr>
          <w:szCs w:val="24"/>
        </w:rPr>
      </w:pPr>
      <w:r>
        <w:t>The Emergency Preparedness</w:t>
      </w:r>
      <w:r w:rsidR="00CD412E">
        <w:t xml:space="preserve"> Final</w:t>
      </w:r>
      <w:r>
        <w:t xml:space="preserve"> Rule</w:t>
      </w:r>
      <w:r w:rsidR="00CD412E">
        <w:t xml:space="preserve"> (81 Fed. Reg. 63860, September 16, 2016)</w:t>
      </w:r>
      <w:r>
        <w:t xml:space="preserve"> </w:t>
      </w:r>
      <w:r w:rsidR="00CD412E">
        <w:t>sets out</w:t>
      </w:r>
      <w:r>
        <w:t xml:space="preserve"> requirements for all providers and suppliers in regards to planning, preparing and training </w:t>
      </w:r>
      <w:r w:rsidR="00BE6BA1">
        <w:t>for emergency situations. The rule includes</w:t>
      </w:r>
      <w:r w:rsidR="00CD412E">
        <w:t xml:space="preserve"> requirements for</w:t>
      </w:r>
      <w:r w:rsidR="00BE6BA1">
        <w:t xml:space="preserve"> emergency plans, </w:t>
      </w:r>
      <w:r w:rsidR="00CD412E">
        <w:t xml:space="preserve">policies and procedures, </w:t>
      </w:r>
      <w:r w:rsidR="00BE6BA1">
        <w:t>communication</w:t>
      </w:r>
      <w:r w:rsidR="00CD412E">
        <w:t>s</w:t>
      </w:r>
      <w:r w:rsidR="00BE6BA1">
        <w:t xml:space="preserve"> and </w:t>
      </w:r>
      <w:r w:rsidR="00CD412E">
        <w:t>staff</w:t>
      </w:r>
      <w:r w:rsidR="00BE6BA1">
        <w:t xml:space="preserve"> training. While there are minor variations based on the specific provider type, the rule is applicable to all providers and suppliers.</w:t>
      </w:r>
      <w:r w:rsidR="00821B86">
        <w:t xml:space="preserve"> </w:t>
      </w:r>
      <w:r w:rsidR="00170069" w:rsidRPr="003C0C02">
        <w:rPr>
          <w:szCs w:val="24"/>
        </w:rPr>
        <w:t xml:space="preserve">The emergency preparedness requirement is a Condition </w:t>
      </w:r>
      <w:r w:rsidR="00062586">
        <w:rPr>
          <w:szCs w:val="24"/>
        </w:rPr>
        <w:t>of</w:t>
      </w:r>
      <w:r w:rsidR="00170069" w:rsidRPr="003C0C02">
        <w:rPr>
          <w:szCs w:val="24"/>
        </w:rPr>
        <w:t xml:space="preserve"> Participation/Condition </w:t>
      </w:r>
      <w:r w:rsidR="00062586">
        <w:rPr>
          <w:szCs w:val="24"/>
        </w:rPr>
        <w:t>for</w:t>
      </w:r>
      <w:r w:rsidR="00170069" w:rsidRPr="003C0C02">
        <w:rPr>
          <w:szCs w:val="24"/>
        </w:rPr>
        <w:t xml:space="preserve"> Coverage which covers the requirement for facilities to have an emergency preparedness program.</w:t>
      </w:r>
    </w:p>
    <w:p w14:paraId="6D613252" w14:textId="77777777" w:rsidR="00170069" w:rsidRDefault="00170069" w:rsidP="00170069"/>
    <w:p w14:paraId="369F3E1B" w14:textId="2C984554" w:rsidR="00A81178" w:rsidRPr="00A81178" w:rsidRDefault="00170069" w:rsidP="00BA225F">
      <w:pPr>
        <w:rPr>
          <w:b/>
          <w:u w:val="single"/>
        </w:rPr>
      </w:pPr>
      <w:r>
        <w:rPr>
          <w:b/>
          <w:u w:val="single"/>
        </w:rPr>
        <w:t>Discussion</w:t>
      </w:r>
    </w:p>
    <w:p w14:paraId="78F9C55B" w14:textId="477F84C7" w:rsidR="00C1492E" w:rsidRDefault="00C1492E" w:rsidP="00BA225F"/>
    <w:p w14:paraId="25F5AC91" w14:textId="49B3EFDA" w:rsidR="00503F05" w:rsidRDefault="00503F05" w:rsidP="00BA225F">
      <w:r>
        <w:t xml:space="preserve">CMS is adding “emerging infectious diseases” to the current definition of all-hazards approach. After review, CMS determined it was critical for facilities to include planning for infectious diseases within their emergency preparedness program. In light of events such as the Ebola Virus and </w:t>
      </w:r>
      <w:proofErr w:type="spellStart"/>
      <w:r>
        <w:t>Zika</w:t>
      </w:r>
      <w:proofErr w:type="spellEnd"/>
      <w:r>
        <w:t>, we believe that facilities should consider preparedness and infection prevention within their all-hazards approach, which covers both natural and man-made disasters.</w:t>
      </w:r>
    </w:p>
    <w:p w14:paraId="4DF75E9E" w14:textId="77777777" w:rsidR="00503F05" w:rsidRDefault="00503F05" w:rsidP="00BA225F"/>
    <w:p w14:paraId="1E1ECD00" w14:textId="2A64505E" w:rsidR="00C1492E" w:rsidRDefault="00C1492E" w:rsidP="00BA225F">
      <w:r>
        <w:lastRenderedPageBreak/>
        <w:t>Additionally, since the release of the Interpretive Guidelines for Emergency Preparedness in 2017, stakeholders and providers have asked for additional clarifications related to portable/mobile generators. CMS has added guidance under Tag E0015- Alternate Source Power as well as clarifications under Tag E0042- Emergency Standby Power Systems.</w:t>
      </w:r>
      <w:r w:rsidR="00503F05">
        <w:t xml:space="preserve"> </w:t>
      </w:r>
      <w:r w:rsidR="00484451">
        <w:t>Facilities should use the most appropriate energy source or electrical system based on their review of their individual facility’s all-hazards risks assessment and as required by existing regulations or state requirements.</w:t>
      </w:r>
      <w:r w:rsidR="00503F05" w:rsidRPr="00503F05">
        <w:t xml:space="preserve"> Regardless of the alternate sources of energy a facility chooses to utilize, it must be in accordance with local and state laws, manufacturer requirements, as well as applicable </w:t>
      </w:r>
      <w:r w:rsidR="00503F05">
        <w:t xml:space="preserve">Life Safety Code (LSC) </w:t>
      </w:r>
      <w:r w:rsidR="00503F05" w:rsidRPr="00503F05">
        <w:t>requirements</w:t>
      </w:r>
      <w:r w:rsidR="00503F05">
        <w:t>.</w:t>
      </w:r>
    </w:p>
    <w:p w14:paraId="00ABB5BC" w14:textId="77777777" w:rsidR="00503F05" w:rsidRDefault="00503F05" w:rsidP="00BA225F"/>
    <w:p w14:paraId="56679BC0" w14:textId="29882A2B" w:rsidR="00503F05" w:rsidRDefault="00503F05" w:rsidP="00BA225F">
      <w:r w:rsidRPr="00503F05">
        <w:t>If a facility risk assessment determines the best way to maintain temperatures, emergency lighting, fire detection and extinguishing systems and sewage and waste disposal would be through the use of a portable and mobile generator, rather than a permanent generator, then the LSC provisions such as generator testing, maintenance, etc. outlined under the N</w:t>
      </w:r>
      <w:r w:rsidR="00484451">
        <w:t xml:space="preserve">ational </w:t>
      </w:r>
      <w:r w:rsidRPr="00503F05">
        <w:t>F</w:t>
      </w:r>
      <w:r w:rsidR="00484451">
        <w:t xml:space="preserve">ire </w:t>
      </w:r>
      <w:r w:rsidRPr="00503F05">
        <w:t>P</w:t>
      </w:r>
      <w:r w:rsidR="00484451">
        <w:t xml:space="preserve">rotection </w:t>
      </w:r>
      <w:r w:rsidRPr="00503F05">
        <w:t>A</w:t>
      </w:r>
      <w:r w:rsidR="00484451">
        <w:t>ssociation (NFPA)</w:t>
      </w:r>
      <w:r w:rsidRPr="00503F05">
        <w:t xml:space="preserve"> guidelines requirements would not be applicable, except for NFPA 70 - National Electrical Code</w:t>
      </w:r>
      <w:r>
        <w:t xml:space="preserve">. However, the revisions, as the provisions under emergency preparedness themselves, </w:t>
      </w:r>
      <w:r w:rsidRPr="00503F05">
        <w:rPr>
          <w:b/>
        </w:rPr>
        <w:t>do not take away existing requirements</w:t>
      </w:r>
      <w:r>
        <w:t xml:space="preserve"> under LSC, physical environment or any other Conditions of Participation that a provider type is subject to</w:t>
      </w:r>
      <w:r w:rsidR="00807142">
        <w:t xml:space="preserve"> (for example to maintain safe and comfortable temperatures)</w:t>
      </w:r>
      <w:r>
        <w:t xml:space="preserve">. </w:t>
      </w:r>
    </w:p>
    <w:p w14:paraId="4BFD3D77" w14:textId="77777777" w:rsidR="00C1492E" w:rsidRDefault="00C1492E" w:rsidP="00BA225F"/>
    <w:p w14:paraId="2A4C27A2" w14:textId="71E0862C" w:rsidR="00C1492E" w:rsidRDefault="00C1492E" w:rsidP="00BA225F">
      <w:r>
        <w:t>Finally, in addition to minor technical edits, CMS has also made the change to the HHA citations from 482.22 to reflect the regulatory</w:t>
      </w:r>
      <w:r w:rsidRPr="00C1492E">
        <w:t xml:space="preserve"> citation 484.102</w:t>
      </w:r>
      <w:r>
        <w:t>.</w:t>
      </w:r>
    </w:p>
    <w:p w14:paraId="2826C1AB" w14:textId="77777777" w:rsidR="00C1492E" w:rsidRPr="00C1492E" w:rsidRDefault="00C1492E" w:rsidP="00BA225F"/>
    <w:p w14:paraId="55CF536F" w14:textId="5B08B075" w:rsidR="00BA225F" w:rsidRDefault="003E42FD" w:rsidP="00BA225F">
      <w:bookmarkStart w:id="0" w:name="_GoBack"/>
      <w:r w:rsidRPr="002D74A5">
        <w:rPr>
          <w:b/>
        </w:rPr>
        <w:t>Contact:</w:t>
      </w:r>
      <w:r>
        <w:t xml:space="preserve"> </w:t>
      </w:r>
      <w:r w:rsidR="00BE6BA1">
        <w:t xml:space="preserve">For questions regarding the Emergency Preparedness Rule, please contact </w:t>
      </w:r>
      <w:hyperlink r:id="rId9" w:history="1">
        <w:r w:rsidR="00BE6BA1" w:rsidRPr="00887F93">
          <w:rPr>
            <w:rStyle w:val="Hyperlink"/>
          </w:rPr>
          <w:t>SCGEmergencyPrep@cms.hhs.gov</w:t>
        </w:r>
      </w:hyperlink>
      <w:bookmarkEnd w:id="0"/>
      <w:r w:rsidR="00BE6BA1">
        <w:t xml:space="preserve">. </w:t>
      </w:r>
    </w:p>
    <w:p w14:paraId="0DC0A364" w14:textId="77777777" w:rsidR="00750F26" w:rsidRPr="00A568B6" w:rsidRDefault="00750F26" w:rsidP="00BA225F">
      <w:pPr>
        <w:rPr>
          <w:b/>
          <w:u w:val="single"/>
        </w:rPr>
      </w:pPr>
    </w:p>
    <w:p w14:paraId="3248F38B" w14:textId="4B60E98B" w:rsidR="002C5192" w:rsidRPr="003C3F2A" w:rsidRDefault="002C5192" w:rsidP="002C5192">
      <w:pPr>
        <w:rPr>
          <w:szCs w:val="24"/>
        </w:rPr>
      </w:pPr>
      <w:r w:rsidRPr="003E1B62">
        <w:rPr>
          <w:b/>
          <w:szCs w:val="24"/>
        </w:rPr>
        <w:t>Effective Date:</w:t>
      </w:r>
      <w:r w:rsidR="002C3494">
        <w:rPr>
          <w:b/>
          <w:szCs w:val="24"/>
        </w:rPr>
        <w:t xml:space="preserve"> </w:t>
      </w:r>
      <w:r w:rsidRPr="003C3F2A">
        <w:rPr>
          <w:szCs w:val="24"/>
        </w:rPr>
        <w:t xml:space="preserve"> </w:t>
      </w:r>
      <w:r w:rsidR="0038161B">
        <w:rPr>
          <w:szCs w:val="24"/>
        </w:rPr>
        <w:t>Immediately.</w:t>
      </w:r>
      <w:r>
        <w:rPr>
          <w:szCs w:val="24"/>
        </w:rPr>
        <w:t xml:space="preserve"> </w:t>
      </w:r>
      <w:r w:rsidR="005D7158">
        <w:rPr>
          <w:szCs w:val="24"/>
        </w:rPr>
        <w:t xml:space="preserve">The information provided in this memorandum </w:t>
      </w:r>
      <w:r w:rsidRPr="003C3F2A">
        <w:rPr>
          <w:szCs w:val="24"/>
        </w:rPr>
        <w:t xml:space="preserve">should be </w:t>
      </w:r>
      <w:r>
        <w:rPr>
          <w:szCs w:val="24"/>
        </w:rPr>
        <w:t xml:space="preserve">communicated </w:t>
      </w:r>
      <w:r w:rsidRPr="003C3F2A">
        <w:rPr>
          <w:szCs w:val="24"/>
        </w:rPr>
        <w:t>with all survey and certification staff, their managers and the State/R</w:t>
      </w:r>
      <w:r>
        <w:rPr>
          <w:szCs w:val="24"/>
        </w:rPr>
        <w:t xml:space="preserve">egional </w:t>
      </w:r>
      <w:r w:rsidRPr="003C3F2A">
        <w:rPr>
          <w:szCs w:val="24"/>
        </w:rPr>
        <w:t>O</w:t>
      </w:r>
      <w:r>
        <w:rPr>
          <w:szCs w:val="24"/>
        </w:rPr>
        <w:t>ffice</w:t>
      </w:r>
      <w:r w:rsidRPr="003C3F2A">
        <w:rPr>
          <w:szCs w:val="24"/>
        </w:rPr>
        <w:t xml:space="preserve"> training coordinator</w:t>
      </w:r>
      <w:r>
        <w:rPr>
          <w:szCs w:val="24"/>
        </w:rPr>
        <w:t>s within 30 days of this memorandum.</w:t>
      </w:r>
      <w:r w:rsidRPr="003C3F2A">
        <w:rPr>
          <w:szCs w:val="24"/>
        </w:rPr>
        <w:t xml:space="preserve"> </w:t>
      </w:r>
    </w:p>
    <w:p w14:paraId="33B3E886" w14:textId="77777777" w:rsidR="002C5192" w:rsidRDefault="002C5192" w:rsidP="002C5192">
      <w:pPr>
        <w:rPr>
          <w:szCs w:val="24"/>
        </w:rPr>
      </w:pPr>
    </w:p>
    <w:p w14:paraId="17EC2C08" w14:textId="77777777" w:rsidR="002C5192" w:rsidRPr="00381EE6" w:rsidRDefault="002C5192" w:rsidP="002C5192">
      <w:pPr>
        <w:tabs>
          <w:tab w:val="left" w:pos="1220"/>
        </w:tabs>
        <w:rPr>
          <w:szCs w:val="24"/>
        </w:rPr>
      </w:pPr>
      <w:r>
        <w:rPr>
          <w:szCs w:val="24"/>
        </w:rPr>
        <w:tab/>
      </w:r>
    </w:p>
    <w:p w14:paraId="5A61F018" w14:textId="77777777" w:rsidR="002C5192" w:rsidRPr="00381EE6" w:rsidRDefault="002C5192" w:rsidP="002C5192">
      <w:pPr>
        <w:rPr>
          <w:szCs w:val="24"/>
        </w:rPr>
      </w:pPr>
      <w:r>
        <w:rPr>
          <w:szCs w:val="24"/>
        </w:rPr>
        <w:tab/>
      </w:r>
      <w:r>
        <w:rPr>
          <w:szCs w:val="24"/>
        </w:rPr>
        <w:tab/>
      </w:r>
      <w:r>
        <w:rPr>
          <w:szCs w:val="24"/>
        </w:rPr>
        <w:tab/>
      </w:r>
      <w:r>
        <w:rPr>
          <w:szCs w:val="24"/>
        </w:rPr>
        <w:tab/>
      </w:r>
      <w:r>
        <w:rPr>
          <w:szCs w:val="24"/>
        </w:rPr>
        <w:tab/>
      </w:r>
      <w:r>
        <w:rPr>
          <w:szCs w:val="24"/>
        </w:rPr>
        <w:tab/>
      </w:r>
      <w:r>
        <w:rPr>
          <w:szCs w:val="24"/>
        </w:rPr>
        <w:tab/>
        <w:t>/s/</w:t>
      </w:r>
    </w:p>
    <w:p w14:paraId="7A44A39B" w14:textId="0FCD091F" w:rsidR="00E46D85" w:rsidRDefault="00503F05" w:rsidP="004241B0">
      <w:pPr>
        <w:ind w:left="3600" w:firstLine="990"/>
        <w:rPr>
          <w:szCs w:val="24"/>
        </w:rPr>
      </w:pPr>
      <w:r>
        <w:rPr>
          <w:szCs w:val="24"/>
        </w:rPr>
        <w:t>Karen Tritz</w:t>
      </w:r>
    </w:p>
    <w:p w14:paraId="2BC06AC6" w14:textId="47E39FE9" w:rsidR="00503F05" w:rsidRDefault="00503F05" w:rsidP="004241B0">
      <w:pPr>
        <w:ind w:left="3600" w:firstLine="810"/>
        <w:rPr>
          <w:szCs w:val="24"/>
        </w:rPr>
      </w:pPr>
      <w:r>
        <w:rPr>
          <w:szCs w:val="24"/>
        </w:rPr>
        <w:t>Acting Director</w:t>
      </w:r>
    </w:p>
    <w:p w14:paraId="1AAC2B1F" w14:textId="77777777" w:rsidR="004241B0" w:rsidRDefault="004241B0" w:rsidP="00E46D85">
      <w:pPr>
        <w:ind w:left="3600" w:firstLine="720"/>
        <w:rPr>
          <w:szCs w:val="24"/>
        </w:rPr>
      </w:pPr>
    </w:p>
    <w:p w14:paraId="364557D0" w14:textId="45604E64" w:rsidR="006E1581" w:rsidRDefault="004241B0" w:rsidP="002C5192">
      <w:pPr>
        <w:rPr>
          <w:szCs w:val="24"/>
        </w:rPr>
      </w:pPr>
      <w:r>
        <w:rPr>
          <w:szCs w:val="24"/>
        </w:rPr>
        <w:t>Attachment- Advanced Copy- Revised Appendix Z State Operations Manual</w:t>
      </w:r>
    </w:p>
    <w:p w14:paraId="40F9ACA0" w14:textId="77777777" w:rsidR="004241B0" w:rsidRDefault="004241B0" w:rsidP="002C5192">
      <w:pPr>
        <w:rPr>
          <w:szCs w:val="24"/>
        </w:rPr>
      </w:pPr>
    </w:p>
    <w:p w14:paraId="1D468C9F" w14:textId="77777777" w:rsidR="002C5192" w:rsidRPr="00381EE6" w:rsidRDefault="002C5192" w:rsidP="002C5192">
      <w:pPr>
        <w:rPr>
          <w:szCs w:val="24"/>
        </w:rPr>
      </w:pPr>
      <w:r w:rsidRPr="00381EE6">
        <w:rPr>
          <w:szCs w:val="24"/>
        </w:rPr>
        <w:t>cc:  Survey and Certification Regional Office Management</w:t>
      </w:r>
    </w:p>
    <w:p w14:paraId="368D833C" w14:textId="77777777" w:rsidR="006F4110" w:rsidRDefault="006F4110" w:rsidP="00137E0C"/>
    <w:sectPr w:rsidR="006F4110" w:rsidSect="006F411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BDE02" w14:textId="77777777" w:rsidR="00523BA0" w:rsidRDefault="00523BA0" w:rsidP="00401752">
      <w:r>
        <w:separator/>
      </w:r>
    </w:p>
  </w:endnote>
  <w:endnote w:type="continuationSeparator" w:id="0">
    <w:p w14:paraId="13013125" w14:textId="77777777" w:rsidR="00523BA0" w:rsidRDefault="00523BA0" w:rsidP="00401752">
      <w:r>
        <w:continuationSeparator/>
      </w:r>
    </w:p>
  </w:endnote>
  <w:endnote w:type="continuationNotice" w:id="1">
    <w:p w14:paraId="03D04026" w14:textId="77777777" w:rsidR="00523BA0" w:rsidRDefault="00523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CBDC9" w14:textId="77777777" w:rsidR="009D1BAC" w:rsidRDefault="009D1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AEF13" w14:textId="77777777" w:rsidR="009D1BAC" w:rsidRDefault="009D1B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65C87" w14:textId="77777777" w:rsidR="009D1BAC" w:rsidRDefault="009D1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D5483" w14:textId="77777777" w:rsidR="00523BA0" w:rsidRDefault="00523BA0" w:rsidP="00401752">
      <w:r>
        <w:separator/>
      </w:r>
    </w:p>
  </w:footnote>
  <w:footnote w:type="continuationSeparator" w:id="0">
    <w:p w14:paraId="799530C6" w14:textId="77777777" w:rsidR="00523BA0" w:rsidRDefault="00523BA0" w:rsidP="00401752">
      <w:r>
        <w:continuationSeparator/>
      </w:r>
    </w:p>
  </w:footnote>
  <w:footnote w:type="continuationNotice" w:id="1">
    <w:p w14:paraId="3B39C441" w14:textId="77777777" w:rsidR="00523BA0" w:rsidRDefault="00523B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3835" w14:textId="77777777" w:rsidR="009D1BAC" w:rsidRDefault="009D1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283ED" w14:textId="77777777" w:rsidR="00960743" w:rsidRDefault="00960743">
    <w:pPr>
      <w:pStyle w:val="Header"/>
    </w:pPr>
  </w:p>
  <w:p w14:paraId="3C6C22B8" w14:textId="10001C63" w:rsidR="00960743" w:rsidRDefault="00960743">
    <w:pPr>
      <w:pStyle w:val="Header"/>
    </w:pPr>
    <w:r>
      <w:t xml:space="preserve">Page </w:t>
    </w:r>
    <w:r>
      <w:fldChar w:fldCharType="begin"/>
    </w:r>
    <w:r>
      <w:instrText xml:space="preserve"> PAGE   \* MERGEFORMAT </w:instrText>
    </w:r>
    <w:r>
      <w:fldChar w:fldCharType="separate"/>
    </w:r>
    <w:r w:rsidR="00A215A5">
      <w:rPr>
        <w:noProof/>
      </w:rPr>
      <w:t>2</w:t>
    </w:r>
    <w:r>
      <w:rPr>
        <w:noProof/>
      </w:rPr>
      <w:fldChar w:fldCharType="end"/>
    </w:r>
    <w:r>
      <w:rPr>
        <w:noProof/>
      </w:rPr>
      <w:t xml:space="preserve"> - </w:t>
    </w:r>
    <w:r>
      <w:t>State Survey Agency Directors</w:t>
    </w:r>
  </w:p>
  <w:p w14:paraId="1B7CBDFE" w14:textId="77777777" w:rsidR="00960743" w:rsidRDefault="00960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48D6C" w14:textId="77777777" w:rsidR="007C5C3D" w:rsidRDefault="007C5C3D" w:rsidP="006F4110"/>
  <w:p w14:paraId="77E21FAE" w14:textId="77777777" w:rsidR="007C5C3D" w:rsidRDefault="007C5C3D">
    <w:pPr>
      <w:pStyle w:val="Header"/>
    </w:pPr>
  </w:p>
  <w:p w14:paraId="38E63FEF" w14:textId="77777777" w:rsidR="007C5C3D" w:rsidRDefault="007C5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2F98"/>
    <w:multiLevelType w:val="hybridMultilevel"/>
    <w:tmpl w:val="26FE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6092A"/>
    <w:multiLevelType w:val="hybridMultilevel"/>
    <w:tmpl w:val="5FD6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F0690"/>
    <w:multiLevelType w:val="hybridMultilevel"/>
    <w:tmpl w:val="7C449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009C4"/>
    <w:multiLevelType w:val="hybridMultilevel"/>
    <w:tmpl w:val="D0D62E98"/>
    <w:lvl w:ilvl="0" w:tplc="9FAAEAAA">
      <w:start w:val="1"/>
      <w:numFmt w:val="bullet"/>
      <w:lvlText w:val="•"/>
      <w:lvlJc w:val="left"/>
      <w:pPr>
        <w:tabs>
          <w:tab w:val="num" w:pos="216"/>
        </w:tabs>
        <w:ind w:left="288" w:hanging="288"/>
      </w:pPr>
      <w:rPr>
        <w:rFonts w:ascii="Times New Roman" w:hAnsi="Times New Roman" w:cs="Times New Roman" w:hint="default"/>
        <w:b w:val="0"/>
        <w:i w:val="0"/>
        <w:strike w:val="0"/>
        <w:dstrike w:val="0"/>
        <w:sz w:val="32"/>
        <w:szCs w:val="1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0B5349"/>
    <w:multiLevelType w:val="hybridMultilevel"/>
    <w:tmpl w:val="A1C21AD6"/>
    <w:lvl w:ilvl="0" w:tplc="D8CEF186">
      <w:start w:val="1"/>
      <w:numFmt w:val="bullet"/>
      <w:lvlText w:val=""/>
      <w:lvlJc w:val="left"/>
      <w:pPr>
        <w:tabs>
          <w:tab w:val="num" w:pos="792"/>
        </w:tabs>
        <w:ind w:left="792" w:hanging="216"/>
      </w:pPr>
      <w:rPr>
        <w:rFonts w:ascii="Symbol" w:hAnsi="Symbol" w:hint="default"/>
        <w:sz w:val="20"/>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5" w15:restartNumberingAfterBreak="0">
    <w:nsid w:val="708A20BE"/>
    <w:multiLevelType w:val="hybridMultilevel"/>
    <w:tmpl w:val="34D0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67433"/>
    <w:multiLevelType w:val="hybridMultilevel"/>
    <w:tmpl w:val="4662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92"/>
    <w:rsid w:val="00000E2E"/>
    <w:rsid w:val="000152FD"/>
    <w:rsid w:val="00016803"/>
    <w:rsid w:val="00022035"/>
    <w:rsid w:val="00027929"/>
    <w:rsid w:val="00035C7D"/>
    <w:rsid w:val="00055D91"/>
    <w:rsid w:val="00062586"/>
    <w:rsid w:val="00075BF8"/>
    <w:rsid w:val="00091EDC"/>
    <w:rsid w:val="000C5B13"/>
    <w:rsid w:val="0012112E"/>
    <w:rsid w:val="001359C0"/>
    <w:rsid w:val="00137E0C"/>
    <w:rsid w:val="00145133"/>
    <w:rsid w:val="00170069"/>
    <w:rsid w:val="001847A8"/>
    <w:rsid w:val="001A25A0"/>
    <w:rsid w:val="001A2D39"/>
    <w:rsid w:val="001B39AF"/>
    <w:rsid w:val="001C5689"/>
    <w:rsid w:val="001D5CE6"/>
    <w:rsid w:val="001E376A"/>
    <w:rsid w:val="001E5ECD"/>
    <w:rsid w:val="001F054C"/>
    <w:rsid w:val="0021151D"/>
    <w:rsid w:val="0021655D"/>
    <w:rsid w:val="00272A47"/>
    <w:rsid w:val="00273644"/>
    <w:rsid w:val="002736BD"/>
    <w:rsid w:val="002774AD"/>
    <w:rsid w:val="002C234E"/>
    <w:rsid w:val="002C3494"/>
    <w:rsid w:val="002C5192"/>
    <w:rsid w:val="002D2C08"/>
    <w:rsid w:val="002D74A5"/>
    <w:rsid w:val="002E79B7"/>
    <w:rsid w:val="002E7EBB"/>
    <w:rsid w:val="00311152"/>
    <w:rsid w:val="00351144"/>
    <w:rsid w:val="0038161B"/>
    <w:rsid w:val="003A37F7"/>
    <w:rsid w:val="003C360A"/>
    <w:rsid w:val="003D2FA3"/>
    <w:rsid w:val="003E42FD"/>
    <w:rsid w:val="003F2B7D"/>
    <w:rsid w:val="00401752"/>
    <w:rsid w:val="0040264B"/>
    <w:rsid w:val="004241B0"/>
    <w:rsid w:val="00425366"/>
    <w:rsid w:val="00434839"/>
    <w:rsid w:val="0045242C"/>
    <w:rsid w:val="00460524"/>
    <w:rsid w:val="00466355"/>
    <w:rsid w:val="00481CC8"/>
    <w:rsid w:val="00484451"/>
    <w:rsid w:val="00493715"/>
    <w:rsid w:val="004970E7"/>
    <w:rsid w:val="004B18C7"/>
    <w:rsid w:val="004B1D96"/>
    <w:rsid w:val="004C0213"/>
    <w:rsid w:val="004D4B64"/>
    <w:rsid w:val="004E385A"/>
    <w:rsid w:val="004F0453"/>
    <w:rsid w:val="00503F05"/>
    <w:rsid w:val="005142D0"/>
    <w:rsid w:val="00523BA0"/>
    <w:rsid w:val="00533473"/>
    <w:rsid w:val="00543D00"/>
    <w:rsid w:val="00552FD9"/>
    <w:rsid w:val="00552FEB"/>
    <w:rsid w:val="00553E95"/>
    <w:rsid w:val="005D7158"/>
    <w:rsid w:val="005F1BA0"/>
    <w:rsid w:val="00626FAF"/>
    <w:rsid w:val="00644909"/>
    <w:rsid w:val="00677EC8"/>
    <w:rsid w:val="006A2EC6"/>
    <w:rsid w:val="006B13C0"/>
    <w:rsid w:val="006E1581"/>
    <w:rsid w:val="006F4110"/>
    <w:rsid w:val="006F5F96"/>
    <w:rsid w:val="00720092"/>
    <w:rsid w:val="0072180D"/>
    <w:rsid w:val="00723906"/>
    <w:rsid w:val="00731E76"/>
    <w:rsid w:val="0073417D"/>
    <w:rsid w:val="00740078"/>
    <w:rsid w:val="00750F26"/>
    <w:rsid w:val="007741E5"/>
    <w:rsid w:val="007A466C"/>
    <w:rsid w:val="007B6525"/>
    <w:rsid w:val="007C5C3D"/>
    <w:rsid w:val="007F3074"/>
    <w:rsid w:val="008003B7"/>
    <w:rsid w:val="00807142"/>
    <w:rsid w:val="00821B86"/>
    <w:rsid w:val="00861A88"/>
    <w:rsid w:val="00875A04"/>
    <w:rsid w:val="00876121"/>
    <w:rsid w:val="00881711"/>
    <w:rsid w:val="008827EA"/>
    <w:rsid w:val="00887AFF"/>
    <w:rsid w:val="008A15A4"/>
    <w:rsid w:val="008A1A00"/>
    <w:rsid w:val="008A3D9D"/>
    <w:rsid w:val="008B75A2"/>
    <w:rsid w:val="008C67E8"/>
    <w:rsid w:val="008C6A45"/>
    <w:rsid w:val="008D2E26"/>
    <w:rsid w:val="008F340F"/>
    <w:rsid w:val="00951F16"/>
    <w:rsid w:val="00960743"/>
    <w:rsid w:val="00967C41"/>
    <w:rsid w:val="0097032E"/>
    <w:rsid w:val="00970893"/>
    <w:rsid w:val="00970CF9"/>
    <w:rsid w:val="00985E8E"/>
    <w:rsid w:val="009D1BAC"/>
    <w:rsid w:val="009D6FEA"/>
    <w:rsid w:val="009F255F"/>
    <w:rsid w:val="00A01657"/>
    <w:rsid w:val="00A022FB"/>
    <w:rsid w:val="00A215A5"/>
    <w:rsid w:val="00A408F1"/>
    <w:rsid w:val="00A435B3"/>
    <w:rsid w:val="00A50273"/>
    <w:rsid w:val="00A81178"/>
    <w:rsid w:val="00A90579"/>
    <w:rsid w:val="00A95712"/>
    <w:rsid w:val="00AA2701"/>
    <w:rsid w:val="00AA57FB"/>
    <w:rsid w:val="00AB45C9"/>
    <w:rsid w:val="00AC76D8"/>
    <w:rsid w:val="00AE6D20"/>
    <w:rsid w:val="00B65829"/>
    <w:rsid w:val="00B80780"/>
    <w:rsid w:val="00BA225F"/>
    <w:rsid w:val="00BA6145"/>
    <w:rsid w:val="00BD3FBB"/>
    <w:rsid w:val="00BE6BA1"/>
    <w:rsid w:val="00C1492E"/>
    <w:rsid w:val="00C17A1A"/>
    <w:rsid w:val="00C503A7"/>
    <w:rsid w:val="00C76A54"/>
    <w:rsid w:val="00C90D91"/>
    <w:rsid w:val="00C950C5"/>
    <w:rsid w:val="00CA614D"/>
    <w:rsid w:val="00CB2DD4"/>
    <w:rsid w:val="00CC30D0"/>
    <w:rsid w:val="00CD412E"/>
    <w:rsid w:val="00D02738"/>
    <w:rsid w:val="00D25ACE"/>
    <w:rsid w:val="00D5521A"/>
    <w:rsid w:val="00D66FA0"/>
    <w:rsid w:val="00DB19F4"/>
    <w:rsid w:val="00DE58F1"/>
    <w:rsid w:val="00DF24B0"/>
    <w:rsid w:val="00DF6361"/>
    <w:rsid w:val="00E104EB"/>
    <w:rsid w:val="00E16DA1"/>
    <w:rsid w:val="00E21627"/>
    <w:rsid w:val="00E451D1"/>
    <w:rsid w:val="00E46D85"/>
    <w:rsid w:val="00E52C5B"/>
    <w:rsid w:val="00E643DF"/>
    <w:rsid w:val="00EA6DA6"/>
    <w:rsid w:val="00F035B6"/>
    <w:rsid w:val="00F061C0"/>
    <w:rsid w:val="00F15356"/>
    <w:rsid w:val="00F23DCA"/>
    <w:rsid w:val="00F378DE"/>
    <w:rsid w:val="00F5308B"/>
    <w:rsid w:val="00F55A86"/>
    <w:rsid w:val="00F65CA5"/>
    <w:rsid w:val="00F7240F"/>
    <w:rsid w:val="00F90BBE"/>
    <w:rsid w:val="00F9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F5DE9"/>
  <w15:chartTrackingRefBased/>
  <w15:docId w15:val="{9E9FA264-9F66-4165-A124-5AD1D31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92"/>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5192"/>
    <w:pPr>
      <w:tabs>
        <w:tab w:val="center" w:pos="4320"/>
        <w:tab w:val="right" w:pos="8640"/>
      </w:tabs>
    </w:pPr>
  </w:style>
  <w:style w:type="character" w:customStyle="1" w:styleId="HeaderChar">
    <w:name w:val="Header Char"/>
    <w:link w:val="Header"/>
    <w:uiPriority w:val="99"/>
    <w:rsid w:val="002C5192"/>
    <w:rPr>
      <w:rFonts w:ascii="Times New Roman" w:eastAsia="Times New Roman" w:hAnsi="Times New Roman" w:cs="Times New Roman"/>
      <w:sz w:val="24"/>
      <w:szCs w:val="20"/>
    </w:rPr>
  </w:style>
  <w:style w:type="character" w:styleId="Hyperlink">
    <w:name w:val="Hyperlink"/>
    <w:rsid w:val="002C5192"/>
    <w:rPr>
      <w:color w:val="0000FF"/>
      <w:u w:val="single"/>
    </w:rPr>
  </w:style>
  <w:style w:type="character" w:customStyle="1" w:styleId="ListParagraphChar">
    <w:name w:val="List Paragraph Char"/>
    <w:link w:val="ListParagraph"/>
    <w:uiPriority w:val="34"/>
    <w:locked/>
    <w:rsid w:val="002C5192"/>
    <w:rPr>
      <w:sz w:val="24"/>
      <w:szCs w:val="24"/>
    </w:rPr>
  </w:style>
  <w:style w:type="paragraph" w:styleId="ListParagraph">
    <w:name w:val="List Paragraph"/>
    <w:basedOn w:val="Normal"/>
    <w:link w:val="ListParagraphChar"/>
    <w:uiPriority w:val="34"/>
    <w:qFormat/>
    <w:rsid w:val="002C5192"/>
    <w:pPr>
      <w:ind w:left="720"/>
      <w:contextualSpacing/>
    </w:pPr>
    <w:rPr>
      <w:rFonts w:ascii="Calibri" w:eastAsia="Calibri" w:hAnsi="Calibri"/>
      <w:szCs w:val="24"/>
    </w:rPr>
  </w:style>
  <w:style w:type="character" w:styleId="CommentReference">
    <w:name w:val="annotation reference"/>
    <w:uiPriority w:val="99"/>
    <w:semiHidden/>
    <w:unhideWhenUsed/>
    <w:rsid w:val="007C5C3D"/>
    <w:rPr>
      <w:sz w:val="16"/>
      <w:szCs w:val="16"/>
    </w:rPr>
  </w:style>
  <w:style w:type="paragraph" w:styleId="CommentText">
    <w:name w:val="annotation text"/>
    <w:basedOn w:val="Normal"/>
    <w:link w:val="CommentTextChar"/>
    <w:uiPriority w:val="99"/>
    <w:semiHidden/>
    <w:unhideWhenUsed/>
    <w:rsid w:val="007C5C3D"/>
    <w:rPr>
      <w:sz w:val="20"/>
    </w:rPr>
  </w:style>
  <w:style w:type="character" w:customStyle="1" w:styleId="CommentTextChar">
    <w:name w:val="Comment Text Char"/>
    <w:link w:val="CommentText"/>
    <w:uiPriority w:val="99"/>
    <w:semiHidden/>
    <w:rsid w:val="007C5C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5C3D"/>
    <w:rPr>
      <w:b/>
      <w:bCs/>
    </w:rPr>
  </w:style>
  <w:style w:type="character" w:customStyle="1" w:styleId="CommentSubjectChar">
    <w:name w:val="Comment Subject Char"/>
    <w:link w:val="CommentSubject"/>
    <w:uiPriority w:val="99"/>
    <w:semiHidden/>
    <w:rsid w:val="007C5C3D"/>
    <w:rPr>
      <w:rFonts w:ascii="Times New Roman" w:eastAsia="Times New Roman" w:hAnsi="Times New Roman"/>
      <w:b/>
      <w:bCs/>
    </w:rPr>
  </w:style>
  <w:style w:type="paragraph" w:styleId="BalloonText">
    <w:name w:val="Balloon Text"/>
    <w:basedOn w:val="Normal"/>
    <w:link w:val="BalloonTextChar"/>
    <w:uiPriority w:val="99"/>
    <w:semiHidden/>
    <w:unhideWhenUsed/>
    <w:rsid w:val="007C5C3D"/>
    <w:rPr>
      <w:rFonts w:ascii="Tahoma" w:hAnsi="Tahoma" w:cs="Tahoma"/>
      <w:sz w:val="16"/>
      <w:szCs w:val="16"/>
    </w:rPr>
  </w:style>
  <w:style w:type="character" w:customStyle="1" w:styleId="BalloonTextChar">
    <w:name w:val="Balloon Text Char"/>
    <w:link w:val="BalloonText"/>
    <w:uiPriority w:val="99"/>
    <w:semiHidden/>
    <w:rsid w:val="007C5C3D"/>
    <w:rPr>
      <w:rFonts w:ascii="Tahoma" w:eastAsia="Times New Roman" w:hAnsi="Tahoma" w:cs="Tahoma"/>
      <w:sz w:val="16"/>
      <w:szCs w:val="16"/>
    </w:rPr>
  </w:style>
  <w:style w:type="paragraph" w:customStyle="1" w:styleId="Default">
    <w:name w:val="Default"/>
    <w:rsid w:val="00AA2701"/>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1E376A"/>
    <w:rPr>
      <w:rFonts w:ascii="Times New Roman" w:eastAsia="Times New Roman" w:hAnsi="Times New Roman"/>
      <w:sz w:val="24"/>
    </w:rPr>
  </w:style>
  <w:style w:type="paragraph" w:styleId="Footer">
    <w:name w:val="footer"/>
    <w:basedOn w:val="Normal"/>
    <w:link w:val="FooterChar"/>
    <w:uiPriority w:val="99"/>
    <w:unhideWhenUsed/>
    <w:rsid w:val="00960743"/>
    <w:pPr>
      <w:tabs>
        <w:tab w:val="center" w:pos="4680"/>
        <w:tab w:val="right" w:pos="9360"/>
      </w:tabs>
    </w:pPr>
  </w:style>
  <w:style w:type="character" w:customStyle="1" w:styleId="FooterChar">
    <w:name w:val="Footer Char"/>
    <w:link w:val="Footer"/>
    <w:uiPriority w:val="99"/>
    <w:rsid w:val="00960743"/>
    <w:rPr>
      <w:rFonts w:ascii="Times New Roman" w:eastAsia="Times New Roman" w:hAnsi="Times New Roman"/>
      <w:sz w:val="24"/>
    </w:rPr>
  </w:style>
  <w:style w:type="paragraph" w:styleId="NoSpacing">
    <w:name w:val="No Spacing"/>
    <w:uiPriority w:val="1"/>
    <w:qFormat/>
    <w:rsid w:val="0017006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93625">
      <w:bodyDiv w:val="1"/>
      <w:marLeft w:val="0"/>
      <w:marRight w:val="0"/>
      <w:marTop w:val="0"/>
      <w:marBottom w:val="0"/>
      <w:divBdr>
        <w:top w:val="none" w:sz="0" w:space="0" w:color="auto"/>
        <w:left w:val="none" w:sz="0" w:space="0" w:color="auto"/>
        <w:bottom w:val="none" w:sz="0" w:space="0" w:color="auto"/>
        <w:right w:val="none" w:sz="0" w:space="0" w:color="auto"/>
      </w:divBdr>
    </w:div>
    <w:div w:id="569272084">
      <w:bodyDiv w:val="1"/>
      <w:marLeft w:val="0"/>
      <w:marRight w:val="0"/>
      <w:marTop w:val="0"/>
      <w:marBottom w:val="0"/>
      <w:divBdr>
        <w:top w:val="none" w:sz="0" w:space="0" w:color="auto"/>
        <w:left w:val="none" w:sz="0" w:space="0" w:color="auto"/>
        <w:bottom w:val="none" w:sz="0" w:space="0" w:color="auto"/>
        <w:right w:val="none" w:sz="0" w:space="0" w:color="auto"/>
      </w:divBdr>
    </w:div>
    <w:div w:id="947154689">
      <w:bodyDiv w:val="1"/>
      <w:marLeft w:val="0"/>
      <w:marRight w:val="0"/>
      <w:marTop w:val="0"/>
      <w:marBottom w:val="0"/>
      <w:divBdr>
        <w:top w:val="none" w:sz="0" w:space="0" w:color="auto"/>
        <w:left w:val="none" w:sz="0" w:space="0" w:color="auto"/>
        <w:bottom w:val="none" w:sz="0" w:space="0" w:color="auto"/>
        <w:right w:val="none" w:sz="0" w:space="0" w:color="auto"/>
      </w:divBdr>
    </w:div>
    <w:div w:id="1264149045">
      <w:bodyDiv w:val="1"/>
      <w:marLeft w:val="0"/>
      <w:marRight w:val="0"/>
      <w:marTop w:val="0"/>
      <w:marBottom w:val="0"/>
      <w:divBdr>
        <w:top w:val="none" w:sz="0" w:space="0" w:color="auto"/>
        <w:left w:val="none" w:sz="0" w:space="0" w:color="auto"/>
        <w:bottom w:val="none" w:sz="0" w:space="0" w:color="auto"/>
        <w:right w:val="none" w:sz="0" w:space="0" w:color="auto"/>
      </w:divBdr>
    </w:div>
    <w:div w:id="1371223326">
      <w:bodyDiv w:val="1"/>
      <w:marLeft w:val="0"/>
      <w:marRight w:val="0"/>
      <w:marTop w:val="0"/>
      <w:marBottom w:val="0"/>
      <w:divBdr>
        <w:top w:val="none" w:sz="0" w:space="0" w:color="auto"/>
        <w:left w:val="none" w:sz="0" w:space="0" w:color="auto"/>
        <w:bottom w:val="none" w:sz="0" w:space="0" w:color="auto"/>
        <w:right w:val="none" w:sz="0" w:space="0" w:color="auto"/>
      </w:divBdr>
    </w:div>
    <w:div w:id="1600329296">
      <w:bodyDiv w:val="1"/>
      <w:marLeft w:val="0"/>
      <w:marRight w:val="0"/>
      <w:marTop w:val="0"/>
      <w:marBottom w:val="0"/>
      <w:divBdr>
        <w:top w:val="none" w:sz="0" w:space="0" w:color="auto"/>
        <w:left w:val="none" w:sz="0" w:space="0" w:color="auto"/>
        <w:bottom w:val="none" w:sz="0" w:space="0" w:color="auto"/>
        <w:right w:val="none" w:sz="0" w:space="0" w:color="auto"/>
      </w:divBdr>
    </w:div>
    <w:div w:id="1856652721">
      <w:bodyDiv w:val="1"/>
      <w:marLeft w:val="0"/>
      <w:marRight w:val="0"/>
      <w:marTop w:val="0"/>
      <w:marBottom w:val="0"/>
      <w:divBdr>
        <w:top w:val="none" w:sz="0" w:space="0" w:color="auto"/>
        <w:left w:val="none" w:sz="0" w:space="0" w:color="auto"/>
        <w:bottom w:val="none" w:sz="0" w:space="0" w:color="auto"/>
        <w:right w:val="none" w:sz="0" w:space="0" w:color="auto"/>
      </w:divBdr>
    </w:div>
    <w:div w:id="19557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GEmergencyPrep@cms.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1099-1B86-44E0-B4A4-FC9B2FC5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3888</CharactersWithSpaces>
  <SharedDoc>false</SharedDoc>
  <HLinks>
    <vt:vector size="6" baseType="variant">
      <vt:variant>
        <vt:i4>2818153</vt:i4>
      </vt:variant>
      <vt:variant>
        <vt:i4>0</vt:i4>
      </vt:variant>
      <vt:variant>
        <vt:i4>0</vt:i4>
      </vt:variant>
      <vt:variant>
        <vt:i4>5</vt:i4>
      </vt:variant>
      <vt:variant>
        <vt:lpwstr>mailto:DNH_TriageTeam@cms.hhs.gov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Boyd</dc:creator>
  <cp:keywords/>
  <cp:lastModifiedBy>Caecilia Blondiaux</cp:lastModifiedBy>
  <cp:revision>8</cp:revision>
  <cp:lastPrinted>2015-12-14T15:51:00Z</cp:lastPrinted>
  <dcterms:created xsi:type="dcterms:W3CDTF">2019-01-18T12:13:00Z</dcterms:created>
  <dcterms:modified xsi:type="dcterms:W3CDTF">2019-02-01T16:22:00Z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1368939388</vt:i4>
  </property>
  <property fmtid="{D5CDD505-2E9C-101B-9397-08002B2CF9AE}" pid="3" name="_NewReviewCycle">
    <vt:lpwstr/>
  </property>
  <property fmtid="{D5CDD505-2E9C-101B-9397-08002B2CF9AE}" pid="4" name="_EmailSubject">
    <vt:lpwstr>One More-February 1, 2019: Release of Memos- Quality, Safety &amp; Oversight Group</vt:lpwstr>
  </property>
  <property fmtid="{D5CDD505-2E9C-101B-9397-08002B2CF9AE}" pid="5" name="_AuthorEmail">
    <vt:lpwstr>Caecilia.Blondiaux@cms.hhs.gov</vt:lpwstr>
  </property>
  <property fmtid="{D5CDD505-2E9C-101B-9397-08002B2CF9AE}" pid="6" name="_AuthorEmailDisplayName">
    <vt:lpwstr>Blondiaux, Caecilia J. (CMS/CCSQ)</vt:lpwstr>
  </property>
</Properties>
</file>