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0" w:type="dxa"/>
        <w:jc w:val="center"/>
        <w:tblCellSpacing w:w="0" w:type="dxa"/>
        <w:tblCellMar>
          <w:left w:w="0" w:type="dxa"/>
          <w:right w:w="0" w:type="dxa"/>
        </w:tblCellMar>
        <w:tblLook w:val="04A0" w:firstRow="1" w:lastRow="0" w:firstColumn="1" w:lastColumn="0" w:noHBand="0" w:noVBand="1"/>
      </w:tblPr>
      <w:tblGrid>
        <w:gridCol w:w="11540"/>
      </w:tblGrid>
      <w:tr w:rsidR="00FE10AF" w:rsidTr="00FE10AF">
        <w:trPr>
          <w:tblCellSpacing w:w="0" w:type="dxa"/>
          <w:jc w:val="center"/>
        </w:trPr>
        <w:tc>
          <w:tcPr>
            <w:tcW w:w="0" w:type="auto"/>
            <w:vAlign w:val="center"/>
          </w:tcPr>
          <w:tbl>
            <w:tblPr>
              <w:tblW w:w="0" w:type="auto"/>
              <w:tblCellSpacing w:w="15" w:type="dxa"/>
              <w:tblCellMar>
                <w:left w:w="0" w:type="dxa"/>
                <w:right w:w="0" w:type="dxa"/>
              </w:tblCellMar>
              <w:tblLook w:val="04A0" w:firstRow="1" w:lastRow="0" w:firstColumn="1" w:lastColumn="0" w:noHBand="0" w:noVBand="1"/>
            </w:tblPr>
            <w:tblGrid>
              <w:gridCol w:w="96"/>
            </w:tblGrid>
            <w:tr w:rsidR="00FE10AF">
              <w:trPr>
                <w:tblCellSpacing w:w="15" w:type="dxa"/>
              </w:trPr>
              <w:tc>
                <w:tcPr>
                  <w:tcW w:w="0" w:type="auto"/>
                  <w:tcMar>
                    <w:top w:w="15" w:type="dxa"/>
                    <w:left w:w="15" w:type="dxa"/>
                    <w:bottom w:w="15" w:type="dxa"/>
                    <w:right w:w="15" w:type="dxa"/>
                  </w:tcMar>
                  <w:vAlign w:val="center"/>
                  <w:hideMark/>
                </w:tcPr>
                <w:p w:rsidR="00FE10AF" w:rsidRDefault="00FE10AF">
                  <w:bookmarkStart w:id="0" w:name="gd_top"/>
                </w:p>
              </w:tc>
            </w:tr>
          </w:tbl>
          <w:p w:rsidR="00FE10AF" w:rsidRDefault="00FE10AF"/>
          <w:tbl>
            <w:tblPr>
              <w:tblW w:w="5000" w:type="pct"/>
              <w:jc w:val="center"/>
              <w:tblCellSpacing w:w="0" w:type="dxa"/>
              <w:tblCellMar>
                <w:left w:w="0" w:type="dxa"/>
                <w:right w:w="0" w:type="dxa"/>
              </w:tblCellMar>
              <w:tblLook w:val="04A0" w:firstRow="1" w:lastRow="0" w:firstColumn="1" w:lastColumn="0" w:noHBand="0" w:noVBand="1"/>
            </w:tblPr>
            <w:tblGrid>
              <w:gridCol w:w="11540"/>
            </w:tblGrid>
            <w:tr w:rsidR="00FE10AF">
              <w:trPr>
                <w:tblCellSpacing w:w="0" w:type="dxa"/>
                <w:jc w:val="center"/>
              </w:trPr>
              <w:tc>
                <w:tcPr>
                  <w:tcW w:w="0" w:type="auto"/>
                  <w:shd w:val="clear" w:color="auto" w:fill="FFFFFF"/>
                  <w:vAlign w:val="center"/>
                  <w:hideMark/>
                </w:tcPr>
                <w:tbl>
                  <w:tblPr>
                    <w:tblW w:w="9000" w:type="dxa"/>
                    <w:jc w:val="center"/>
                    <w:tblCellMar>
                      <w:left w:w="0" w:type="dxa"/>
                      <w:right w:w="0" w:type="dxa"/>
                    </w:tblCellMar>
                    <w:tblLook w:val="04A0" w:firstRow="1" w:lastRow="0" w:firstColumn="1" w:lastColumn="0" w:noHBand="0" w:noVBand="1"/>
                  </w:tblPr>
                  <w:tblGrid>
                    <w:gridCol w:w="9300"/>
                  </w:tblGrid>
                  <w:tr w:rsidR="00FE10AF">
                    <w:trPr>
                      <w:jc w:val="center"/>
                    </w:trPr>
                    <w:tc>
                      <w:tcPr>
                        <w:tcW w:w="9000" w:type="dxa"/>
                        <w:shd w:val="clear" w:color="auto" w:fill="FCFCFC"/>
                        <w:hideMark/>
                      </w:tcPr>
                      <w:p w:rsidR="00FE10AF" w:rsidRDefault="00FE10AF">
                        <w:r>
                          <w:rPr>
                            <w:noProof/>
                          </w:rPr>
                          <w:drawing>
                            <wp:inline distT="0" distB="0" distL="0" distR="0">
                              <wp:extent cx="5711825" cy="1104265"/>
                              <wp:effectExtent l="0" t="0" r="3175" b="635"/>
                              <wp:docPr id="2" name="Picture 2" descr="CMS Regional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S Regional Offic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1825" cy="1104265"/>
                                      </a:xfrm>
                                      <a:prstGeom prst="rect">
                                        <a:avLst/>
                                      </a:prstGeom>
                                      <a:noFill/>
                                      <a:ln>
                                        <a:noFill/>
                                      </a:ln>
                                    </pic:spPr>
                                  </pic:pic>
                                </a:graphicData>
                              </a:graphic>
                            </wp:inline>
                          </w:drawing>
                        </w:r>
                      </w:p>
                      <w:p w:rsidR="00FE10AF" w:rsidRDefault="00FE10AF">
                        <w:pPr>
                          <w:jc w:val="center"/>
                          <w:rPr>
                            <w:rFonts w:eastAsia="Times New Roman"/>
                          </w:rPr>
                        </w:pPr>
                        <w:r>
                          <w:rPr>
                            <w:rFonts w:eastAsia="Times New Roman"/>
                          </w:rPr>
                          <w:pict>
                            <v:rect id="_x0000_i1097" style="width:468pt;height:1.5pt" o:hralign="center" o:hrstd="t" o:hr="t" fillcolor="#a0a0a0" stroked="f"/>
                          </w:pict>
                        </w:r>
                      </w:p>
                    </w:tc>
                    <w:bookmarkEnd w:id="0"/>
                  </w:tr>
                  <w:tr w:rsidR="00FE10AF">
                    <w:trPr>
                      <w:jc w:val="center"/>
                    </w:trPr>
                    <w:tc>
                      <w:tcPr>
                        <w:tcW w:w="9000" w:type="dxa"/>
                        <w:shd w:val="clear" w:color="auto" w:fill="FFFFFF"/>
                        <w:tcMar>
                          <w:top w:w="450" w:type="dxa"/>
                          <w:left w:w="0" w:type="dxa"/>
                          <w:bottom w:w="450" w:type="dxa"/>
                          <w:right w:w="225" w:type="dxa"/>
                        </w:tcMar>
                        <w:hideMark/>
                      </w:tcPr>
                      <w:p w:rsidR="00FE10AF" w:rsidRDefault="00FE10AF">
                        <w:pPr>
                          <w:pStyle w:val="Heading1"/>
                          <w:spacing w:before="0" w:beforeAutospacing="0" w:after="540" w:afterAutospacing="0"/>
                          <w:rPr>
                            <w:rFonts w:ascii="Arial" w:eastAsia="Times New Roman" w:hAnsi="Arial" w:cs="Arial"/>
                            <w:color w:val="000000"/>
                            <w:sz w:val="35"/>
                            <w:szCs w:val="35"/>
                          </w:rPr>
                        </w:pPr>
                        <w:r>
                          <w:rPr>
                            <w:rFonts w:ascii="Arial" w:eastAsia="Times New Roman" w:hAnsi="Arial" w:cs="Arial"/>
                            <w:color w:val="000000"/>
                            <w:sz w:val="35"/>
                            <w:szCs w:val="35"/>
                          </w:rPr>
                          <w:t>Visiting Loved Ones in a Nursing Home – UPDATED Graphic Available (English and Spanish)</w:t>
                        </w:r>
                      </w:p>
                      <w:p w:rsidR="00FE10AF" w:rsidRDefault="00FE10AF">
                        <w:pPr>
                          <w:pStyle w:val="NormalWeb"/>
                          <w:spacing w:after="540" w:afterAutospacing="0"/>
                          <w:rPr>
                            <w:rFonts w:ascii="Arial" w:hAnsi="Arial" w:cs="Arial"/>
                            <w:color w:val="000000"/>
                          </w:rPr>
                        </w:pPr>
                        <w:r>
                          <w:rPr>
                            <w:rFonts w:ascii="Arial" w:hAnsi="Arial" w:cs="Arial"/>
                            <w:color w:val="000000"/>
                          </w:rPr>
                          <w:t xml:space="preserve">On March 10, 2021, the Centers for Medicare &amp; Medicaid Services (CMS), in collaboration with the Centers for Disease Control and Prevention (CDC), issued updated guidance for nursing homes to safely expand visitation options during the COVID-19 pandemic public health emergency (PHE). Today, CMS is releasing a </w:t>
                        </w:r>
                        <w:hyperlink r:id="rId5" w:history="1">
                          <w:r>
                            <w:rPr>
                              <w:rStyle w:val="Hyperlink"/>
                              <w:rFonts w:ascii="Arial" w:hAnsi="Arial" w:cs="Arial"/>
                              <w:color w:val="3B36AD"/>
                            </w:rPr>
                            <w:t>graphic</w:t>
                          </w:r>
                        </w:hyperlink>
                        <w:r>
                          <w:rPr>
                            <w:rFonts w:ascii="Arial" w:hAnsi="Arial" w:cs="Arial"/>
                            <w:color w:val="000000"/>
                          </w:rPr>
                          <w:t xml:space="preserve"> to further explain the expanded visitation options.</w:t>
                        </w:r>
                      </w:p>
                      <w:p w:rsidR="00FE10AF" w:rsidRDefault="00FE10AF">
                        <w:pPr>
                          <w:pStyle w:val="NormalWeb"/>
                          <w:spacing w:after="540" w:afterAutospacing="0"/>
                          <w:rPr>
                            <w:rFonts w:ascii="Arial" w:hAnsi="Arial" w:cs="Arial"/>
                            <w:color w:val="000000"/>
                          </w:rPr>
                        </w:pPr>
                        <w:r>
                          <w:rPr>
                            <w:rFonts w:ascii="Arial" w:hAnsi="Arial" w:cs="Arial"/>
                            <w:color w:val="000000"/>
                          </w:rPr>
                          <w:t xml:space="preserve">According to the updated guidance, facilities should allow responsible indoor visitation at all times and for all residents, regardless of vaccination status of the resident, or visitor, unless certain scenarios arise that would limit visitation. </w:t>
                        </w:r>
                        <w:hyperlink r:id="rId6" w:history="1">
                          <w:r>
                            <w:rPr>
                              <w:rStyle w:val="Hyperlink"/>
                              <w:rFonts w:ascii="Arial" w:hAnsi="Arial" w:cs="Arial"/>
                              <w:color w:val="3B36AD"/>
                            </w:rPr>
                            <w:t>Read the full press release</w:t>
                          </w:r>
                        </w:hyperlink>
                        <w:r>
                          <w:rPr>
                            <w:rFonts w:ascii="Arial" w:hAnsi="Arial" w:cs="Arial"/>
                            <w:color w:val="000000"/>
                          </w:rPr>
                          <w:t xml:space="preserve"> and review the graphic in </w:t>
                        </w:r>
                        <w:hyperlink r:id="rId7" w:history="1">
                          <w:r>
                            <w:rPr>
                              <w:rStyle w:val="Hyperlink"/>
                              <w:rFonts w:ascii="Arial" w:hAnsi="Arial" w:cs="Arial"/>
                              <w:color w:val="3B36AD"/>
                            </w:rPr>
                            <w:t>English</w:t>
                          </w:r>
                        </w:hyperlink>
                        <w:r>
                          <w:rPr>
                            <w:rFonts w:ascii="Arial" w:hAnsi="Arial" w:cs="Arial"/>
                            <w:color w:val="000000"/>
                          </w:rPr>
                          <w:t xml:space="preserve"> and </w:t>
                        </w:r>
                        <w:hyperlink r:id="rId8" w:history="1">
                          <w:r>
                            <w:rPr>
                              <w:rStyle w:val="Hyperlink"/>
                              <w:rFonts w:ascii="Arial" w:hAnsi="Arial" w:cs="Arial"/>
                              <w:color w:val="3B36AD"/>
                            </w:rPr>
                            <w:t>Spanish</w:t>
                          </w:r>
                        </w:hyperlink>
                        <w:r>
                          <w:rPr>
                            <w:rFonts w:ascii="Arial" w:hAnsi="Arial" w:cs="Arial"/>
                            <w:color w:val="000000"/>
                          </w:rPr>
                          <w:t>.</w:t>
                        </w:r>
                      </w:p>
                      <w:p w:rsidR="00FE10AF" w:rsidRDefault="00FE10AF">
                        <w:pPr>
                          <w:pStyle w:val="NormalWeb"/>
                          <w:spacing w:after="540" w:afterAutospacing="0"/>
                          <w:rPr>
                            <w:rFonts w:ascii="Arial" w:hAnsi="Arial" w:cs="Arial"/>
                            <w:color w:val="000000"/>
                          </w:rPr>
                        </w:pPr>
                        <w:r>
                          <w:rPr>
                            <w:rFonts w:ascii="Arial" w:hAnsi="Arial" w:cs="Arial"/>
                            <w:color w:val="000000"/>
                          </w:rPr>
                          <w:t> </w:t>
                        </w:r>
                      </w:p>
                    </w:tc>
                  </w:tr>
                  <w:tr w:rsidR="00FE10AF">
                    <w:trPr>
                      <w:jc w:val="center"/>
                    </w:trPr>
                    <w:tc>
                      <w:tcPr>
                        <w:tcW w:w="9000" w:type="dxa"/>
                        <w:shd w:val="clear" w:color="auto" w:fill="00529D"/>
                        <w:tcMar>
                          <w:top w:w="150" w:type="dxa"/>
                          <w:left w:w="150" w:type="dxa"/>
                          <w:bottom w:w="150" w:type="dxa"/>
                          <w:right w:w="150" w:type="dxa"/>
                        </w:tcMar>
                        <w:hideMark/>
                      </w:tcPr>
                      <w:p w:rsidR="00FE10AF" w:rsidRDefault="00FE10AF">
                        <w:r>
                          <w:rPr>
                            <w:noProof/>
                          </w:rPr>
                          <w:drawing>
                            <wp:inline distT="0" distB="0" distL="0" distR="0">
                              <wp:extent cx="5711825" cy="379730"/>
                              <wp:effectExtent l="0" t="0" r="3175" b="1270"/>
                              <wp:docPr id="1" name="Picture 1" descr="CMS Regional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MS Regional Offi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1825" cy="379730"/>
                                      </a:xfrm>
                                      <a:prstGeom prst="rect">
                                        <a:avLst/>
                                      </a:prstGeom>
                                      <a:noFill/>
                                      <a:ln>
                                        <a:noFill/>
                                      </a:ln>
                                    </pic:spPr>
                                  </pic:pic>
                                </a:graphicData>
                              </a:graphic>
                            </wp:inline>
                          </w:drawing>
                        </w:r>
                      </w:p>
                    </w:tc>
                  </w:tr>
                </w:tbl>
                <w:p w:rsidR="00FE10AF" w:rsidRDefault="00FE10AF">
                  <w:pPr>
                    <w:jc w:val="center"/>
                    <w:rPr>
                      <w:rFonts w:eastAsia="Times New Roman"/>
                      <w:sz w:val="20"/>
                      <w:szCs w:val="20"/>
                    </w:rPr>
                  </w:pPr>
                </w:p>
              </w:tc>
            </w:tr>
          </w:tbl>
          <w:p w:rsidR="00FE10AF" w:rsidRDefault="00FE10AF">
            <w:pPr>
              <w:rPr>
                <w:vanish/>
              </w:rPr>
            </w:pPr>
          </w:p>
          <w:tbl>
            <w:tblPr>
              <w:tblW w:w="11540" w:type="dxa"/>
              <w:jc w:val="center"/>
              <w:tblCellMar>
                <w:left w:w="0" w:type="dxa"/>
                <w:right w:w="0" w:type="dxa"/>
              </w:tblCellMar>
              <w:tblLook w:val="04A0" w:firstRow="1" w:lastRow="0" w:firstColumn="1" w:lastColumn="0" w:noHBand="0" w:noVBand="1"/>
            </w:tblPr>
            <w:tblGrid>
              <w:gridCol w:w="11540"/>
            </w:tblGrid>
            <w:tr w:rsidR="00FE10AF" w:rsidTr="00FE10AF">
              <w:trPr>
                <w:jc w:val="center"/>
              </w:trPr>
              <w:tc>
                <w:tcPr>
                  <w:tcW w:w="11540" w:type="dxa"/>
                  <w:tcMar>
                    <w:top w:w="15" w:type="dxa"/>
                    <w:left w:w="15" w:type="dxa"/>
                    <w:bottom w:w="15" w:type="dxa"/>
                    <w:right w:w="15" w:type="dxa"/>
                  </w:tcMar>
                  <w:vAlign w:val="center"/>
                  <w:hideMark/>
                </w:tcPr>
                <w:p w:rsidR="00FE10AF" w:rsidRPr="00FE10AF" w:rsidRDefault="00FE10AF" w:rsidP="00FE10AF">
                  <w:pPr>
                    <w:jc w:val="center"/>
                    <w:rPr>
                      <w:rFonts w:eastAsia="Times New Roman"/>
                    </w:rPr>
                  </w:pPr>
                  <w:r>
                    <w:rPr>
                      <w:rFonts w:eastAsia="Times New Roman"/>
                    </w:rPr>
                    <w:pict>
                      <v:rect id="_x0000_i1096" style="width:468pt;height:1.5pt" o:hralign="center" o:hrstd="t" o:hr="t" fillcolor="#a0a0a0" stroked="f"/>
                    </w:pict>
                  </w:r>
                </w:p>
              </w:tc>
            </w:tr>
          </w:tbl>
          <w:p w:rsidR="00FE10AF" w:rsidRDefault="00FE10AF">
            <w:pPr>
              <w:jc w:val="center"/>
              <w:rPr>
                <w:rFonts w:eastAsia="Times New Roman"/>
              </w:rPr>
            </w:pPr>
          </w:p>
          <w:tbl>
            <w:tblPr>
              <w:tblW w:w="5000" w:type="pct"/>
              <w:jc w:val="center"/>
              <w:tblCellMar>
                <w:left w:w="0" w:type="dxa"/>
                <w:right w:w="0" w:type="dxa"/>
              </w:tblCellMar>
              <w:tblLook w:val="04A0" w:firstRow="1" w:lastRow="0" w:firstColumn="1" w:lastColumn="0" w:noHBand="0" w:noVBand="1"/>
            </w:tblPr>
            <w:tblGrid>
              <w:gridCol w:w="11540"/>
            </w:tblGrid>
            <w:tr w:rsidR="00FE10AF">
              <w:trPr>
                <w:jc w:val="center"/>
              </w:trPr>
              <w:tc>
                <w:tcPr>
                  <w:tcW w:w="5000" w:type="pct"/>
                  <w:vAlign w:val="center"/>
                  <w:hideMark/>
                </w:tcPr>
                <w:tbl>
                  <w:tblPr>
                    <w:tblW w:w="10500" w:type="dxa"/>
                    <w:jc w:val="center"/>
                    <w:tblCellSpacing w:w="0" w:type="dxa"/>
                    <w:tblCellMar>
                      <w:left w:w="0" w:type="dxa"/>
                      <w:right w:w="0" w:type="dxa"/>
                    </w:tblCellMar>
                    <w:tblLook w:val="04A0" w:firstRow="1" w:lastRow="0" w:firstColumn="1" w:lastColumn="0" w:noHBand="0" w:noVBand="1"/>
                  </w:tblPr>
                  <w:tblGrid>
                    <w:gridCol w:w="10500"/>
                  </w:tblGrid>
                  <w:tr w:rsidR="00FE10AF">
                    <w:trPr>
                      <w:tblCellSpacing w:w="0" w:type="dxa"/>
                      <w:jc w:val="center"/>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10500"/>
                        </w:tblGrid>
                        <w:tr w:rsidR="00FE10AF" w:rsidTr="00FE10AF">
                          <w:trPr>
                            <w:jc w:val="center"/>
                          </w:trPr>
                          <w:tc>
                            <w:tcPr>
                              <w:tcW w:w="0" w:type="auto"/>
                              <w:vAlign w:val="center"/>
                            </w:tcPr>
                            <w:p w:rsidR="00FE10AF" w:rsidRDefault="00FE10AF">
                              <w:pPr>
                                <w:rPr>
                                  <w:rFonts w:ascii="Arial" w:hAnsi="Arial" w:cs="Arial"/>
                                  <w:color w:val="757575"/>
                                  <w:sz w:val="15"/>
                                  <w:szCs w:val="15"/>
                                </w:rPr>
                              </w:pPr>
                            </w:p>
                          </w:tc>
                        </w:tr>
                      </w:tbl>
                      <w:p w:rsidR="00FE10AF" w:rsidRDefault="00FE10AF">
                        <w:pPr>
                          <w:jc w:val="center"/>
                          <w:rPr>
                            <w:rFonts w:eastAsia="Times New Roman"/>
                            <w:sz w:val="20"/>
                            <w:szCs w:val="20"/>
                          </w:rPr>
                        </w:pPr>
                      </w:p>
                    </w:tc>
                  </w:tr>
                </w:tbl>
                <w:p w:rsidR="00FE10AF" w:rsidRDefault="00FE10AF">
                  <w:pPr>
                    <w:jc w:val="center"/>
                    <w:rPr>
                      <w:rFonts w:eastAsia="Times New Roman"/>
                      <w:sz w:val="20"/>
                      <w:szCs w:val="20"/>
                    </w:rPr>
                  </w:pPr>
                </w:p>
              </w:tc>
            </w:tr>
          </w:tbl>
          <w:p w:rsidR="00FE10AF" w:rsidRDefault="00FE10AF">
            <w:pPr>
              <w:jc w:val="center"/>
              <w:rPr>
                <w:rFonts w:eastAsia="Times New Roman"/>
              </w:rPr>
            </w:pPr>
          </w:p>
        </w:tc>
      </w:tr>
    </w:tbl>
    <w:p w:rsidR="00653F64" w:rsidRDefault="00653F64">
      <w:bookmarkStart w:id="1" w:name="_GoBack"/>
      <w:bookmarkEnd w:id="1"/>
    </w:p>
    <w:sectPr w:rsidR="00653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0AF"/>
    <w:rsid w:val="00653F64"/>
    <w:rsid w:val="00FE1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FFA6"/>
  <w15:chartTrackingRefBased/>
  <w15:docId w15:val="{F70DB41F-CAA0-4A47-8338-D9BF8DD42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0AF"/>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FE10AF"/>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0AF"/>
    <w:rPr>
      <w:rFonts w:ascii="Times New Roman" w:hAnsi="Times New Roman" w:cs="Times New Roman"/>
      <w:b/>
      <w:bCs/>
      <w:kern w:val="36"/>
      <w:sz w:val="48"/>
      <w:szCs w:val="48"/>
    </w:rPr>
  </w:style>
  <w:style w:type="character" w:styleId="Hyperlink">
    <w:name w:val="Hyperlink"/>
    <w:basedOn w:val="DefaultParagraphFont"/>
    <w:uiPriority w:val="99"/>
    <w:semiHidden/>
    <w:unhideWhenUsed/>
    <w:rsid w:val="00FE10AF"/>
    <w:rPr>
      <w:color w:val="0000FF"/>
      <w:u w:val="single"/>
    </w:rPr>
  </w:style>
  <w:style w:type="paragraph" w:styleId="NormalWeb">
    <w:name w:val="Normal (Web)"/>
    <w:basedOn w:val="Normal"/>
    <w:uiPriority w:val="99"/>
    <w:unhideWhenUsed/>
    <w:rsid w:val="00FE10AF"/>
    <w:pPr>
      <w:spacing w:before="100" w:beforeAutospacing="1" w:after="100" w:afterAutospacing="1"/>
    </w:pPr>
  </w:style>
  <w:style w:type="paragraph" w:styleId="BalloonText">
    <w:name w:val="Balloon Text"/>
    <w:basedOn w:val="Normal"/>
    <w:link w:val="BalloonTextChar"/>
    <w:uiPriority w:val="99"/>
    <w:semiHidden/>
    <w:unhideWhenUsed/>
    <w:rsid w:val="00FE10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10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97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defense.proofpoint.com/v2/url?u=https-3A__lnks.gd_l_eyJhbGciOiJIUzI1NiJ9.eyJidWxsZXRpbl9saW5rX2lkIjoxMDMsInVyaSI6ImJwMjpjbGljayIsImJ1bGxldGluX2lkIjoiMjAyMTAzMTYuMzcwOTY0MDEiLCJ1cmwiOiJodHRwczovL3d3dy5jbXMuZ292L2ZpbGVzL2RvY3VtZW50L2VzdmlzaXRpbmctbG92ZWQtb25lcy1udXJzaW5nLWhvbWUucGRmIn0.6naMx652P7csvmvr9-2DGb7v75hGxg0N6YQzggvzptb3g_s_499666054_br_100100867286-2Dl&amp;d=DwMFAA&amp;c=xlPCXuHzMdaH2Flc1sgyicYpGQbQbU9KDEmgNF3_wI0&amp;r=dd0fHLP0nXHmvotmqk_N4cotxyxBwYTaPYdVG97edkM&amp;m=5CryfU_j5yOW21GAW4wsl701WANk5x100p0BDDxe5t4&amp;s=c8Fvlfxg4N0LJK8pw1QZI3v3T_yur1o1LrGIda4AqWo&amp;e=" TargetMode="External"/><Relationship Id="rId3" Type="http://schemas.openxmlformats.org/officeDocument/2006/relationships/webSettings" Target="webSettings.xml"/><Relationship Id="rId7" Type="http://schemas.openxmlformats.org/officeDocument/2006/relationships/hyperlink" Target="https://urldefense.proofpoint.com/v2/url?u=https-3A__lnks.gd_l_eyJhbGciOiJIUzI1NiJ9.eyJidWxsZXRpbl9saW5rX2lkIjoxMDIsInVyaSI6ImJwMjpjbGljayIsImJ1bGxldGluX2lkIjoiMjAyMTAzMTYuMzcwOTY0MDEiLCJ1cmwiOiJodHRwczovL3d3dy5jbXMuZ292L2ZpbGVzL2RvY3VtZW50L3Zpc2l0aW5nLWxvdmUtb25lcy1udXJzaW5nLWhvbWUucGRmIn0.7tDbY3rwjQroBY8UdpYfotzLocGhnPtIKY8aa2mak2k_s_499666054_br_100100867286-2Dl&amp;d=DwMFAA&amp;c=xlPCXuHzMdaH2Flc1sgyicYpGQbQbU9KDEmgNF3_wI0&amp;r=dd0fHLP0nXHmvotmqk_N4cotxyxBwYTaPYdVG97edkM&amp;m=5CryfU_j5yOW21GAW4wsl701WANk5x100p0BDDxe5t4&amp;s=h3BJ2rjgf__RRRFWFrSD9OvBmXmJkhJ1Pvw4yOgFiKc&amp;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rldefense.proofpoint.com/v2/url?u=https-3A__lnks.gd_l_eyJhbGciOiJIUzI1NiJ9.eyJidWxsZXRpbl9saW5rX2lkIjoxMDEsInVyaSI6ImJwMjpjbGljayIsImJ1bGxldGluX2lkIjoiMjAyMTAzMTYuMzcwOTY0MDEiLCJ1cmwiOiJodHRwczovL3d3dy5jbXMuZ292L25ld3Nyb29tL3ByZXNzLXJlbGVhc2VzL2Ntcy11cGRhdGVzLW51cnNpbmctaG9tZS1ndWlkYW5jZS1yZXZpc2VkLXZpc2l0YXRpb24tcmVjb21tZW5kYXRpb25zIn0.j7ZEjREAOmRPk3rXj3JjQJeCwOQ4PcE0svLMzPZuIEY_s_499666054_br_100100867286-2Dl&amp;d=DwMFAA&amp;c=xlPCXuHzMdaH2Flc1sgyicYpGQbQbU9KDEmgNF3_wI0&amp;r=dd0fHLP0nXHmvotmqk_N4cotxyxBwYTaPYdVG97edkM&amp;m=5CryfU_j5yOW21GAW4wsl701WANk5x100p0BDDxe5t4&amp;s=EXZQWknq84eE9Mmvu66R1QnvX1TaJFyf5Mvq8ap4hGA&amp;e=" TargetMode="External"/><Relationship Id="rId11" Type="http://schemas.openxmlformats.org/officeDocument/2006/relationships/theme" Target="theme/theme1.xml"/><Relationship Id="rId5" Type="http://schemas.openxmlformats.org/officeDocument/2006/relationships/hyperlink" Target="https://urldefense.proofpoint.com/v2/url?u=https-3A__lnks.gd_l_eyJhbGciOiJIUzI1NiJ9.eyJidWxsZXRpbl9saW5rX2lkIjoxMDAsInVyaSI6ImJwMjpjbGljayIsImJ1bGxldGluX2lkIjoiMjAyMTAzMTYuMzcwOTY0MDEiLCJ1cmwiOiJodHRwczovL3d3dy5jbXMuZ292L2ZpbGVzL2RvY3VtZW50L3Zpc2l0aW5nLWxvdmUtb25lcy1udXJzaW5nLWhvbWUucGRmIn0.O0U-2DRSE8r-2DX9enpFrAnyMcZzQRPXrh-5FjCNHelHqEKtI_s_499666054_br_100100867286-2Dl&amp;d=DwMFAA&amp;c=xlPCXuHzMdaH2Flc1sgyicYpGQbQbU9KDEmgNF3_wI0&amp;r=dd0fHLP0nXHmvotmqk_N4cotxyxBwYTaPYdVG97edkM&amp;m=5CryfU_j5yOW21GAW4wsl701WANk5x100p0BDDxe5t4&amp;s=nWdRvif0XI3fa-bo1y4flp6SQnAzozenYYwxZli1nWA&amp;e="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Dasiny Davis (LDH)</dc:creator>
  <cp:keywords/>
  <dc:description/>
  <cp:lastModifiedBy>Dasiny Davis (LDH)</cp:lastModifiedBy>
  <cp:revision>1</cp:revision>
  <cp:lastPrinted>2021-03-17T13:18:00Z</cp:lastPrinted>
  <dcterms:created xsi:type="dcterms:W3CDTF">2021-03-17T13:16:00Z</dcterms:created>
  <dcterms:modified xsi:type="dcterms:W3CDTF">2021-03-17T13:26:00Z</dcterms:modified>
</cp:coreProperties>
</file>