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MAGNOLIA WATER UTILITIES - I59 MHP</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LA1103179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MAGNOLIA WATER UTILITIES - I59 MHP</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LA1103179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I59 MHP WELL 001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MAGNOLIA WATER UTILITIES - I59 MHP</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0.56 - 2.85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 COMMERCIAL DRIVE</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CONCORD LOOP 4TH HYDRANT</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26.7</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 COMMERCIAL DRIVE</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24.5</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CONCORD LOOP 4TH HYDRANT</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58.9</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7.64</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10/17/2023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10/17/2023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MAGNOLIA WATER UTILITIES - I59 MHP</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